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5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6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54" w:lineRule="exact"/>
        <w:rPr>
          <w:sz w:val="24"/>
          <w:szCs w:val="24"/>
          <w:color w:val="auto"/>
        </w:rPr>
      </w:pPr>
    </w:p>
    <w:p>
      <w:pPr>
        <w:jc w:val="center"/>
        <w:ind w:right="-7"/>
        <w:spacing w:after="0"/>
        <w:rPr>
          <w:sz w:val="20"/>
          <w:szCs w:val="20"/>
          <w:color w:val="auto"/>
        </w:rPr>
      </w:pPr>
      <w:r>
        <w:rPr>
          <w:rFonts w:ascii="Arial" w:cs="Arial" w:eastAsia="Arial" w:hAnsi="Arial"/>
          <w:sz w:val="13"/>
          <w:szCs w:val="13"/>
          <w:color w:val="auto"/>
        </w:rPr>
        <w:t>Date of Report (Date of earliest event reported): April 27, 2026</w:t>
      </w:r>
    </w:p>
    <w:p>
      <w:pPr>
        <w:spacing w:after="0" w:line="18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CAPITAL BANCORP, INC.</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7"/>
          <w:szCs w:val="7"/>
          <w:color w:val="auto"/>
        </w:rPr>
        <w:t>(Exact name of registrant as specified in its charter)</w:t>
      </w:r>
    </w:p>
    <w:p>
      <w:pPr>
        <w:spacing w:after="0" w:line="243" w:lineRule="exact"/>
        <w:rPr>
          <w:sz w:val="24"/>
          <w:szCs w:val="24"/>
          <w:color w:val="auto"/>
        </w:rPr>
      </w:pPr>
    </w:p>
    <w:tbl>
      <w:tblPr>
        <w:tblLayout w:type="fixed"/>
        <w:tblInd w:w="1108"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rPr>
              <w:t>Maryland</w:t>
            </w:r>
          </w:p>
        </w:tc>
        <w:tc>
          <w:tcPr>
            <w:tcW w:w="1640" w:type="dxa"/>
            <w:vAlign w:val="bottom"/>
          </w:tcPr>
          <w:p>
            <w:pPr>
              <w:spacing w:after="0"/>
              <w:rPr>
                <w:sz w:val="12"/>
                <w:szCs w:val="12"/>
                <w:color w:val="auto"/>
              </w:rPr>
            </w:pPr>
          </w:p>
        </w:tc>
        <w:tc>
          <w:tcPr>
            <w:tcW w:w="3440" w:type="dxa"/>
            <w:vAlign w:val="bottom"/>
            <w:gridSpan w:val="5"/>
          </w:tcPr>
          <w:p>
            <w:pPr>
              <w:jc w:val="right"/>
              <w:ind w:right="1220"/>
              <w:spacing w:after="0"/>
              <w:rPr>
                <w:sz w:val="20"/>
                <w:szCs w:val="20"/>
                <w:color w:val="auto"/>
              </w:rPr>
            </w:pPr>
            <w:r>
              <w:rPr>
                <w:rFonts w:ascii="Arial" w:cs="Arial" w:eastAsia="Arial" w:hAnsi="Arial"/>
                <w:sz w:val="12"/>
                <w:szCs w:val="12"/>
                <w:color w:val="auto"/>
              </w:rPr>
              <w:t>001-38671</w:t>
            </w:r>
          </w:p>
        </w:tc>
        <w:tc>
          <w:tcPr>
            <w:tcW w:w="800" w:type="dxa"/>
            <w:vAlign w:val="bottom"/>
          </w:tcPr>
          <w:p>
            <w:pPr>
              <w:spacing w:after="0"/>
              <w:rPr>
                <w:sz w:val="12"/>
                <w:szCs w:val="12"/>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2"/>
                <w:szCs w:val="12"/>
                <w:color w:val="auto"/>
              </w:rPr>
              <w:t>52-2083046</w:t>
            </w:r>
          </w:p>
        </w:tc>
      </w:tr>
      <w:tr>
        <w:trPr>
          <w:trHeight w:val="20"/>
        </w:trPr>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1"/>
        </w:trPr>
        <w:tc>
          <w:tcPr>
            <w:tcW w:w="2820" w:type="dxa"/>
            <w:vAlign w:val="bottom"/>
            <w:gridSpan w:val="3"/>
          </w:tcPr>
          <w:p>
            <w:pPr>
              <w:jc w:val="center"/>
              <w:ind w:right="960"/>
              <w:spacing w:after="0"/>
              <w:rPr>
                <w:sz w:val="20"/>
                <w:szCs w:val="20"/>
                <w:color w:val="auto"/>
              </w:rPr>
            </w:pPr>
            <w:r>
              <w:rPr>
                <w:rFonts w:ascii="Arial" w:cs="Arial" w:eastAsia="Arial" w:hAnsi="Arial"/>
                <w:sz w:val="7"/>
                <w:szCs w:val="7"/>
                <w:color w:val="auto"/>
              </w:rPr>
              <w:t>(State or other jurisdiction of incorporation or organization)</w:t>
            </w:r>
          </w:p>
        </w:tc>
        <w:tc>
          <w:tcPr>
            <w:tcW w:w="1340" w:type="dxa"/>
            <w:vAlign w:val="bottom"/>
          </w:tcPr>
          <w:p>
            <w:pPr>
              <w:spacing w:after="0"/>
              <w:rPr>
                <w:sz w:val="8"/>
                <w:szCs w:val="8"/>
                <w:color w:val="auto"/>
              </w:rPr>
            </w:pPr>
          </w:p>
        </w:tc>
        <w:tc>
          <w:tcPr>
            <w:tcW w:w="2900" w:type="dxa"/>
            <w:vAlign w:val="bottom"/>
            <w:gridSpan w:val="5"/>
          </w:tcPr>
          <w:p>
            <w:pPr>
              <w:jc w:val="center"/>
              <w:ind w:right="1680"/>
              <w:spacing w:after="0"/>
              <w:rPr>
                <w:sz w:val="20"/>
                <w:szCs w:val="20"/>
                <w:color w:val="auto"/>
              </w:rPr>
            </w:pPr>
            <w:r>
              <w:rPr>
                <w:rFonts w:ascii="Arial" w:cs="Arial" w:eastAsia="Arial" w:hAnsi="Arial"/>
                <w:sz w:val="7"/>
                <w:szCs w:val="7"/>
                <w:color w:val="auto"/>
              </w:rPr>
              <w:t>(Commission file number)</w:t>
            </w:r>
          </w:p>
        </w:tc>
        <w:tc>
          <w:tcPr>
            <w:tcW w:w="1840" w:type="dxa"/>
            <w:vAlign w:val="bottom"/>
            <w:gridSpan w:val="3"/>
          </w:tcPr>
          <w:p>
            <w:pPr>
              <w:jc w:val="center"/>
              <w:ind w:left="752"/>
              <w:spacing w:after="0"/>
              <w:rPr>
                <w:sz w:val="20"/>
                <w:szCs w:val="20"/>
                <w:color w:val="auto"/>
              </w:rPr>
            </w:pPr>
            <w:r>
              <w:rPr>
                <w:rFonts w:ascii="Arial" w:cs="Arial" w:eastAsia="Arial" w:hAnsi="Arial"/>
                <w:sz w:val="7"/>
                <w:szCs w:val="7"/>
                <w:color w:val="auto"/>
              </w:rPr>
              <w:t>(IRS Employer Identification No.)</w:t>
            </w:r>
          </w:p>
        </w:tc>
      </w:tr>
      <w:tr>
        <w:trPr>
          <w:trHeight w:val="257"/>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240" w:type="dxa"/>
            <w:vAlign w:val="bottom"/>
            <w:gridSpan w:val="6"/>
          </w:tcPr>
          <w:p>
            <w:pPr>
              <w:jc w:val="center"/>
              <w:ind w:right="800"/>
              <w:spacing w:after="0"/>
              <w:rPr>
                <w:sz w:val="20"/>
                <w:szCs w:val="20"/>
                <w:color w:val="auto"/>
              </w:rPr>
            </w:pPr>
            <w:r>
              <w:rPr>
                <w:rFonts w:ascii="Arial" w:cs="Arial" w:eastAsia="Arial" w:hAnsi="Arial"/>
                <w:sz w:val="12"/>
                <w:szCs w:val="12"/>
                <w:color w:val="auto"/>
              </w:rPr>
              <w:t>2275 Research Boulevard, Suite 600, Rockville, Maryland 20850</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92"/>
        </w:trPr>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40" w:type="dxa"/>
            <w:vAlign w:val="bottom"/>
            <w:tcBorders>
              <w:top w:val="single" w:sz="8" w:color="auto"/>
            </w:tcBorders>
            <w:gridSpan w:val="5"/>
          </w:tcPr>
          <w:p>
            <w:pPr>
              <w:jc w:val="center"/>
              <w:spacing w:after="0"/>
              <w:rPr>
                <w:sz w:val="20"/>
                <w:szCs w:val="20"/>
                <w:color w:val="auto"/>
              </w:rPr>
            </w:pPr>
            <w:r>
              <w:rPr>
                <w:rFonts w:ascii="Arial" w:cs="Arial" w:eastAsia="Arial" w:hAnsi="Arial"/>
                <w:sz w:val="7"/>
                <w:szCs w:val="7"/>
                <w:color w:val="auto"/>
              </w:rPr>
              <w:t>(Address of principal executive offices) (Zip Code)</w:t>
            </w: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76"/>
        </w:trPr>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40" w:type="dxa"/>
            <w:vAlign w:val="bottom"/>
            <w:gridSpan w:val="3"/>
          </w:tcPr>
          <w:p>
            <w:pPr>
              <w:jc w:val="center"/>
              <w:ind w:left="1272"/>
              <w:spacing w:after="0"/>
              <w:rPr>
                <w:sz w:val="20"/>
                <w:szCs w:val="20"/>
                <w:color w:val="auto"/>
              </w:rPr>
            </w:pPr>
            <w:r>
              <w:rPr>
                <w:rFonts w:ascii="Arial" w:cs="Arial" w:eastAsia="Arial" w:hAnsi="Arial"/>
                <w:sz w:val="12"/>
                <w:szCs w:val="12"/>
                <w:color w:val="auto"/>
                <w:w w:val="99"/>
              </w:rPr>
              <w:t>(301) 468-8848</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6"/>
        </w:trPr>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40" w:type="dxa"/>
            <w:vAlign w:val="bottom"/>
            <w:gridSpan w:val="6"/>
          </w:tcPr>
          <w:p>
            <w:pPr>
              <w:jc w:val="center"/>
              <w:ind w:right="800"/>
              <w:spacing w:after="0"/>
              <w:rPr>
                <w:sz w:val="20"/>
                <w:szCs w:val="20"/>
                <w:color w:val="auto"/>
              </w:rPr>
            </w:pPr>
            <w:r>
              <w:rPr>
                <w:rFonts w:ascii="Arial" w:cs="Arial" w:eastAsia="Arial" w:hAnsi="Arial"/>
                <w:sz w:val="7"/>
                <w:szCs w:val="7"/>
                <w:color w:val="auto"/>
              </w:rPr>
              <w:t>Registrant’s telephone number, including area code</w:t>
            </w: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4"/>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2"/>
                <w:szCs w:val="12"/>
                <w:color w:val="auto"/>
              </w:rPr>
              <w:t>Not Applicable</w:t>
            </w:r>
          </w:p>
        </w:tc>
        <w:tc>
          <w:tcPr>
            <w:tcW w:w="210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92"/>
        </w:trPr>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40" w:type="dxa"/>
            <w:vAlign w:val="bottom"/>
            <w:gridSpan w:val="6"/>
          </w:tcPr>
          <w:p>
            <w:pPr>
              <w:jc w:val="center"/>
              <w:ind w:right="780"/>
              <w:spacing w:after="0"/>
              <w:rPr>
                <w:sz w:val="20"/>
                <w:szCs w:val="20"/>
                <w:color w:val="auto"/>
              </w:rPr>
            </w:pPr>
            <w:r>
              <w:rPr>
                <w:rFonts w:ascii="Arial" w:cs="Arial" w:eastAsia="Arial" w:hAnsi="Arial"/>
                <w:sz w:val="7"/>
                <w:szCs w:val="7"/>
                <w:color w:val="auto"/>
              </w:rPr>
              <w:t>(Former Name or Former Address, if Changed Since Last Report)</w:t>
            </w: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54"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obligations of the registrant under any of the following provisions:</w:t>
      </w:r>
    </w:p>
    <w:p>
      <w:pPr>
        <w:spacing w:after="0" w:line="168"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312"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312"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312" w:lineRule="exact"/>
        <w:rPr>
          <w:rFonts w:ascii="MS PGothic" w:cs="MS PGothic" w:eastAsia="MS PGothic" w:hAnsi="MS PGothic"/>
          <w:sz w:val="12"/>
          <w:szCs w:val="12"/>
          <w:color w:val="auto"/>
        </w:rPr>
      </w:pPr>
    </w:p>
    <w:p>
      <w:pPr>
        <w:ind w:left="8" w:right="5120" w:hanging="8"/>
        <w:spacing w:after="0" w:line="504" w:lineRule="auto"/>
        <w:tabs>
          <w:tab w:leader="none" w:pos="2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98" w:type="dxa"/>
        <w:tblCellMar>
          <w:top w:w="0" w:type="dxa"/>
          <w:left w:w="0" w:type="dxa"/>
          <w:bottom w:w="0" w:type="dxa"/>
          <w:right w:w="0" w:type="dxa"/>
        </w:tblCellMar>
      </w:tblPr>
      <w:tr>
        <w:trPr>
          <w:trHeight w:val="142"/>
        </w:trPr>
        <w:tc>
          <w:tcPr>
            <w:tcW w:w="43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Trading Symbol</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43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Common Stock, par value $0.01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CBNK</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NASDAQ Stock Market</w:t>
            </w:r>
          </w:p>
        </w:tc>
      </w:tr>
    </w:tbl>
    <w:p>
      <w:pPr>
        <w:spacing w:after="0" w:line="266" w:lineRule="exact"/>
        <w:rPr>
          <w:sz w:val="24"/>
          <w:szCs w:val="24"/>
          <w:color w:val="auto"/>
        </w:rPr>
      </w:pPr>
    </w:p>
    <w:p>
      <w:pPr>
        <w:ind w:left="8" w:right="420"/>
        <w:spacing w:after="0" w:line="28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0" w:lineRule="exact"/>
        <w:rPr>
          <w:sz w:val="24"/>
          <w:szCs w:val="24"/>
          <w:color w:val="auto"/>
        </w:rPr>
      </w:pPr>
    </w:p>
    <w:p>
      <w:pPr>
        <w:ind w:left="8"/>
        <w:spacing w:after="0" w:line="16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438785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036"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Disclosure</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On April 27, 2026, Capital Bancorp, Inc. (the “Company”) issued a press release announcing the Company’s unaudited financial results for the three months ended March 31, 2026. A copy of the press release is furnished as Exhibit 99.1 to this Current Report on Form 8-K and hereby incorporated by reference. A presentation regarding the Company's financial results for the three months ended March 31, 2026 is furnished as Exhibit 99.2 and incorporated herein by reference.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information furnished under Item 2.02 and Item 9.01 of this Current Report on Form 8-K, including Exhibit 99.1 and Exhibit 99.2 to this Current Report on Form 8-K, shall not be deemed “filed” for purposes of Section 18 of the Securities Exchange Act of 1934, as amended, or otherwise subject to liabilities under that Section, nor shall it be deemed incorporated by reference in any registration statement or other filings of the Company under the Securities Act of 1933, as amended, except as shall be set forth by specific reference in such filing.</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On April 24, 2026, the Company's Board of Directors declared a $0.12 per share dividend, payable on May 27, 2026 to stockholders of record on May 11, 2026.</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ind w:left="20"/>
              <w:spacing w:after="0"/>
              <w:rPr>
                <w:sz w:val="20"/>
                <w:szCs w:val="20"/>
                <w:color w:val="auto"/>
              </w:rPr>
            </w:pPr>
            <w:r>
              <w:rPr>
                <w:rFonts w:ascii="Arial" w:cs="Arial" w:eastAsia="Arial" w:hAnsi="Arial"/>
                <w:sz w:val="12"/>
                <w:szCs w:val="12"/>
                <w:color w:val="auto"/>
              </w:rPr>
              <w:t>99.1</w:t>
            </w:r>
          </w:p>
        </w:tc>
        <w:tc>
          <w:tcPr>
            <w:tcW w:w="10520" w:type="dxa"/>
            <w:vAlign w:val="bottom"/>
            <w:gridSpan w:val="3"/>
          </w:tcPr>
          <w:p>
            <w:pPr>
              <w:spacing w:after="0"/>
              <w:rPr>
                <w:sz w:val="20"/>
                <w:szCs w:val="20"/>
                <w:color w:val="auto"/>
              </w:rPr>
            </w:pPr>
            <w:r>
              <w:rPr>
                <w:rFonts w:ascii="Arial" w:cs="Arial" w:eastAsia="Arial" w:hAnsi="Arial"/>
                <w:sz w:val="12"/>
                <w:szCs w:val="12"/>
                <w:color w:val="0000FF"/>
              </w:rPr>
              <w:t>Press Release, dated April 27, 2026.</w:t>
            </w:r>
          </w:p>
        </w:tc>
      </w:tr>
      <w:tr>
        <w:trPr>
          <w:trHeight w:val="313"/>
        </w:trPr>
        <w:tc>
          <w:tcPr>
            <w:tcW w:w="780" w:type="dxa"/>
            <w:vAlign w:val="bottom"/>
          </w:tcPr>
          <w:p>
            <w:pPr>
              <w:ind w:left="20"/>
              <w:spacing w:after="0"/>
              <w:rPr>
                <w:sz w:val="20"/>
                <w:szCs w:val="20"/>
                <w:color w:val="auto"/>
              </w:rPr>
            </w:pPr>
            <w:r>
              <w:rPr>
                <w:rFonts w:ascii="Arial" w:cs="Arial" w:eastAsia="Arial" w:hAnsi="Arial"/>
                <w:sz w:val="12"/>
                <w:szCs w:val="12"/>
                <w:color w:val="auto"/>
              </w:rPr>
              <w:t>99.2</w:t>
            </w:r>
          </w:p>
        </w:tc>
        <w:tc>
          <w:tcPr>
            <w:tcW w:w="1960" w:type="dxa"/>
            <w:vAlign w:val="bottom"/>
            <w:tcBorders>
              <w:top w:val="single" w:sz="8" w:color="0000FF"/>
            </w:tcBorders>
            <w:gridSpan w:val="2"/>
          </w:tcPr>
          <w:p>
            <w:pPr>
              <w:spacing w:after="0"/>
              <w:rPr>
                <w:sz w:val="20"/>
                <w:szCs w:val="20"/>
                <w:color w:val="auto"/>
              </w:rPr>
            </w:pPr>
            <w:r>
              <w:rPr>
                <w:rFonts w:ascii="Arial" w:cs="Arial" w:eastAsia="Arial" w:hAnsi="Arial"/>
                <w:sz w:val="12"/>
                <w:szCs w:val="12"/>
                <w:color w:val="0000FF"/>
              </w:rPr>
              <w:t>Investor Presentation March 2026.</w:t>
            </w:r>
          </w:p>
        </w:tc>
        <w:tc>
          <w:tcPr>
            <w:tcW w:w="85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680" w:type="dxa"/>
            <w:vAlign w:val="bottom"/>
            <w:gridSpan w:val="2"/>
          </w:tcPr>
          <w:p>
            <w:pPr>
              <w:spacing w:after="0" w:line="20" w:lineRule="exact"/>
              <w:rPr>
                <w:sz w:val="1"/>
                <w:szCs w:val="1"/>
                <w:color w:val="auto"/>
              </w:rPr>
            </w:pPr>
          </w:p>
        </w:tc>
      </w:tr>
      <w:tr>
        <w:trPr>
          <w:trHeight w:val="342"/>
        </w:trPr>
        <w:tc>
          <w:tcPr>
            <w:tcW w:w="780" w:type="dxa"/>
            <w:vAlign w:val="bottom"/>
          </w:tcPr>
          <w:p>
            <w:pPr>
              <w:ind w:left="20"/>
              <w:spacing w:after="0"/>
              <w:rPr>
                <w:sz w:val="20"/>
                <w:szCs w:val="20"/>
                <w:color w:val="auto"/>
              </w:rPr>
            </w:pPr>
            <w:r>
              <w:rPr>
                <w:rFonts w:ascii="Arial" w:cs="Arial" w:eastAsia="Arial" w:hAnsi="Arial"/>
                <w:sz w:val="12"/>
                <w:szCs w:val="12"/>
                <w:color w:val="auto"/>
              </w:rPr>
              <w:t>104</w:t>
            </w:r>
          </w:p>
        </w:tc>
        <w:tc>
          <w:tcPr>
            <w:tcW w:w="1052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12"/>
        </w:trPr>
        <w:tc>
          <w:tcPr>
            <w:tcW w:w="7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3"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tbl>
      <w:tblPr>
        <w:tblLayout w:type="fixed"/>
        <w:tblInd w:w="2600" w:type="dxa"/>
        <w:tblCellMar>
          <w:top w:w="0" w:type="dxa"/>
          <w:left w:w="0" w:type="dxa"/>
          <w:bottom w:w="0" w:type="dxa"/>
          <w:right w:w="0" w:type="dxa"/>
        </w:tblCellMar>
      </w:tblPr>
      <w:tr>
        <w:trPr>
          <w:trHeight w:val="165"/>
        </w:trPr>
        <w:tc>
          <w:tcPr>
            <w:tcW w:w="2060" w:type="dxa"/>
            <w:vAlign w:val="bottom"/>
          </w:tcPr>
          <w:p>
            <w:pPr>
              <w:spacing w:after="0"/>
              <w:rPr>
                <w:sz w:val="14"/>
                <w:szCs w:val="14"/>
                <w:color w:val="auto"/>
              </w:rPr>
            </w:pPr>
          </w:p>
        </w:tc>
        <w:tc>
          <w:tcPr>
            <w:tcW w:w="2460" w:type="dxa"/>
            <w:vAlign w:val="bottom"/>
            <w:gridSpan w:val="3"/>
          </w:tcPr>
          <w:p>
            <w:pPr>
              <w:ind w:left="980"/>
              <w:spacing w:after="0"/>
              <w:rPr>
                <w:sz w:val="20"/>
                <w:szCs w:val="20"/>
                <w:color w:val="auto"/>
              </w:rPr>
            </w:pPr>
            <w:r>
              <w:rPr>
                <w:rFonts w:ascii="Arial" w:cs="Arial" w:eastAsia="Arial" w:hAnsi="Arial"/>
                <w:sz w:val="12"/>
                <w:szCs w:val="12"/>
                <w:b w:val="1"/>
                <w:bCs w:val="1"/>
                <w:color w:val="auto"/>
                <w:w w:val="99"/>
              </w:rPr>
              <w:t>CAPITAL BANCORP, INC.</w:t>
            </w:r>
          </w:p>
        </w:tc>
      </w:tr>
      <w:tr>
        <w:trPr>
          <w:trHeight w:val="460"/>
        </w:trPr>
        <w:tc>
          <w:tcPr>
            <w:tcW w:w="2060" w:type="dxa"/>
            <w:vAlign w:val="bottom"/>
          </w:tcPr>
          <w:p>
            <w:pPr>
              <w:spacing w:after="0"/>
              <w:rPr>
                <w:sz w:val="20"/>
                <w:szCs w:val="20"/>
                <w:color w:val="auto"/>
              </w:rPr>
            </w:pPr>
            <w:r>
              <w:rPr>
                <w:rFonts w:ascii="Arial" w:cs="Arial" w:eastAsia="Arial" w:hAnsi="Arial"/>
                <w:sz w:val="12"/>
                <w:szCs w:val="12"/>
                <w:color w:val="auto"/>
              </w:rPr>
              <w:t>Date: April 27, 2026</w:t>
            </w:r>
          </w:p>
        </w:tc>
        <w:tc>
          <w:tcPr>
            <w:tcW w:w="2460" w:type="dxa"/>
            <w:vAlign w:val="bottom"/>
            <w:gridSpan w:val="3"/>
          </w:tcPr>
          <w:p>
            <w:pPr>
              <w:ind w:left="980"/>
              <w:spacing w:after="0"/>
              <w:rPr>
                <w:sz w:val="20"/>
                <w:szCs w:val="20"/>
                <w:color w:val="auto"/>
              </w:rPr>
            </w:pPr>
            <w:r>
              <w:rPr>
                <w:rFonts w:ascii="Arial" w:cs="Arial" w:eastAsia="Arial" w:hAnsi="Arial"/>
                <w:sz w:val="12"/>
                <w:szCs w:val="12"/>
                <w:color w:val="auto"/>
              </w:rPr>
              <w:t>By: /s/ Jacob Dalaya</w:t>
            </w:r>
          </w:p>
        </w:tc>
      </w:tr>
      <w:tr>
        <w:trPr>
          <w:trHeight w:val="20"/>
        </w:trPr>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6"/>
        </w:trPr>
        <w:tc>
          <w:tcPr>
            <w:tcW w:w="2060" w:type="dxa"/>
            <w:vAlign w:val="bottom"/>
          </w:tcPr>
          <w:p>
            <w:pPr>
              <w:spacing w:after="0"/>
              <w:rPr>
                <w:sz w:val="13"/>
                <w:szCs w:val="13"/>
                <w:color w:val="auto"/>
              </w:rPr>
            </w:pPr>
          </w:p>
        </w:tc>
        <w:tc>
          <w:tcPr>
            <w:tcW w:w="2460" w:type="dxa"/>
            <w:vAlign w:val="bottom"/>
            <w:gridSpan w:val="3"/>
          </w:tcPr>
          <w:p>
            <w:pPr>
              <w:ind w:left="980"/>
              <w:spacing w:after="0"/>
              <w:rPr>
                <w:sz w:val="20"/>
                <w:szCs w:val="20"/>
                <w:color w:val="auto"/>
              </w:rPr>
            </w:pPr>
            <w:r>
              <w:rPr>
                <w:rFonts w:ascii="Arial" w:cs="Arial" w:eastAsia="Arial" w:hAnsi="Arial"/>
                <w:sz w:val="12"/>
                <w:szCs w:val="12"/>
                <w:color w:val="auto"/>
              </w:rPr>
              <w:t>Name: Jacob Dalaya</w:t>
            </w:r>
          </w:p>
        </w:tc>
      </w:tr>
      <w:tr>
        <w:trPr>
          <w:trHeight w:val="159"/>
        </w:trPr>
        <w:tc>
          <w:tcPr>
            <w:tcW w:w="2060" w:type="dxa"/>
            <w:vAlign w:val="bottom"/>
          </w:tcPr>
          <w:p>
            <w:pPr>
              <w:spacing w:after="0"/>
              <w:rPr>
                <w:sz w:val="13"/>
                <w:szCs w:val="13"/>
                <w:color w:val="auto"/>
              </w:rPr>
            </w:pPr>
          </w:p>
        </w:tc>
        <w:tc>
          <w:tcPr>
            <w:tcW w:w="2460" w:type="dxa"/>
            <w:vAlign w:val="bottom"/>
            <w:gridSpan w:val="3"/>
          </w:tcPr>
          <w:p>
            <w:pPr>
              <w:ind w:left="980"/>
              <w:spacing w:after="0"/>
              <w:rPr>
                <w:sz w:val="20"/>
                <w:szCs w:val="20"/>
                <w:color w:val="auto"/>
              </w:rPr>
            </w:pPr>
            <w:r>
              <w:rPr>
                <w:rFonts w:ascii="Arial" w:cs="Arial" w:eastAsia="Arial" w:hAnsi="Arial"/>
                <w:sz w:val="12"/>
                <w:szCs w:val="12"/>
                <w:color w:val="auto"/>
                <w:w w:val="99"/>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640" w:right="1440" w:bottom="1440" w:gutter="0" w:footer="0" w:header="0"/>
        </w:sectPr>
      </w:pPr>
    </w:p>
    <w:bookmarkStart w:id="3" w:name="page4"/>
    <w:bookmarkEnd w:id="3"/>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2334260</wp:posOffset>
            </wp:positionH>
            <wp:positionV relativeFrom="page">
              <wp:posOffset>363220</wp:posOffset>
            </wp:positionV>
            <wp:extent cx="28860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886075" cy="411480"/>
                    </a:xfrm>
                    <a:prstGeom prst="rect">
                      <a:avLst/>
                    </a:prstGeom>
                    <a:noFill/>
                  </pic:spPr>
                </pic:pic>
              </a:graphicData>
            </a:graphic>
          </wp:anchor>
        </w:drawing>
        <w:t>CBNK Continues Strong Growth With Accelerated Investment Underway</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Rockville, Maryland, April 27, 2026 (GLOBE NEWSWIRE) – Capital Bancorp, Inc. (the "Company") (NASDAQ: CBNK), the holding company for Capital Bank, N.A. (the "Bank"), today reported:</w:t>
      </w:r>
    </w:p>
    <w:p>
      <w:pPr>
        <w:spacing w:after="0" w:line="4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1900" w:type="dxa"/>
            <w:vAlign w:val="bottom"/>
          </w:tcPr>
          <w:p>
            <w:pPr>
              <w:spacing w:after="0"/>
              <w:rPr>
                <w:sz w:val="11"/>
                <w:szCs w:val="11"/>
                <w:color w:val="auto"/>
              </w:rPr>
            </w:pPr>
          </w:p>
        </w:tc>
        <w:tc>
          <w:tcPr>
            <w:tcW w:w="220" w:type="dxa"/>
            <w:vAlign w:val="bottom"/>
            <w:tcBorders>
              <w:bottom w:val="single" w:sz="8" w:color="EAEAEA"/>
            </w:tcBorders>
            <w:shd w:val="clear" w:color="auto" w:fill="EAEAEA"/>
          </w:tcPr>
          <w:p>
            <w:pPr>
              <w:spacing w:after="0"/>
              <w:rPr>
                <w:sz w:val="11"/>
                <w:szCs w:val="11"/>
                <w:color w:val="auto"/>
              </w:rPr>
            </w:pPr>
          </w:p>
        </w:tc>
        <w:tc>
          <w:tcPr>
            <w:tcW w:w="960" w:type="dxa"/>
            <w:vAlign w:val="bottom"/>
            <w:tcBorders>
              <w:bottom w:val="single" w:sz="8" w:color="EAEAEA"/>
            </w:tcBorders>
            <w:shd w:val="clear" w:color="auto" w:fill="EAEAEA"/>
          </w:tcPr>
          <w:p>
            <w:pPr>
              <w:spacing w:after="0"/>
              <w:rPr>
                <w:sz w:val="11"/>
                <w:szCs w:val="11"/>
                <w:color w:val="auto"/>
              </w:rPr>
            </w:pPr>
          </w:p>
        </w:tc>
        <w:tc>
          <w:tcPr>
            <w:tcW w:w="60" w:type="dxa"/>
            <w:vAlign w:val="bottom"/>
            <w:tcBorders>
              <w:bottom w:val="single" w:sz="8" w:color="EAEAEA"/>
            </w:tcBorders>
            <w:shd w:val="clear" w:color="auto" w:fill="EAEAEA"/>
          </w:tcPr>
          <w:p>
            <w:pPr>
              <w:spacing w:after="0"/>
              <w:rPr>
                <w:sz w:val="11"/>
                <w:szCs w:val="11"/>
                <w:color w:val="auto"/>
              </w:rPr>
            </w:pPr>
          </w:p>
        </w:tc>
        <w:tc>
          <w:tcPr>
            <w:tcW w:w="680" w:type="dxa"/>
            <w:vAlign w:val="bottom"/>
            <w:tcBorders>
              <w:bottom w:val="single" w:sz="8" w:color="EAEAEA"/>
            </w:tcBorders>
            <w:shd w:val="clear" w:color="auto" w:fill="EAEAEA"/>
          </w:tcPr>
          <w:p>
            <w:pPr>
              <w:spacing w:after="0"/>
              <w:rPr>
                <w:sz w:val="11"/>
                <w:szCs w:val="11"/>
                <w:color w:val="auto"/>
              </w:rPr>
            </w:pPr>
          </w:p>
        </w:tc>
        <w:tc>
          <w:tcPr>
            <w:tcW w:w="160" w:type="dxa"/>
            <w:vAlign w:val="bottom"/>
            <w:tcBorders>
              <w:bottom w:val="single" w:sz="8" w:color="EAEAEA"/>
            </w:tcBorders>
            <w:shd w:val="clear" w:color="auto" w:fill="EAEAEA"/>
          </w:tcPr>
          <w:p>
            <w:pPr>
              <w:spacing w:after="0"/>
              <w:rPr>
                <w:sz w:val="11"/>
                <w:szCs w:val="11"/>
                <w:color w:val="auto"/>
              </w:rPr>
            </w:pPr>
          </w:p>
        </w:tc>
        <w:tc>
          <w:tcPr>
            <w:tcW w:w="86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860" w:type="dxa"/>
            <w:vAlign w:val="bottom"/>
            <w:tcBorders>
              <w:bottom w:val="single" w:sz="8" w:color="auto"/>
            </w:tcBorders>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Quarter Ended</w:t>
            </w:r>
          </w:p>
        </w:tc>
        <w:tc>
          <w:tcPr>
            <w:tcW w:w="80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440" w:type="dxa"/>
            <w:vAlign w:val="bottom"/>
            <w:tcBorders>
              <w:bottom w:val="single" w:sz="8" w:color="auto"/>
            </w:tcBorders>
            <w:shd w:val="clear" w:color="auto" w:fill="EAEAEA"/>
          </w:tcPr>
          <w:p>
            <w:pPr>
              <w:spacing w:after="0"/>
              <w:rPr>
                <w:sz w:val="11"/>
                <w:szCs w:val="11"/>
                <w:color w:val="auto"/>
              </w:rPr>
            </w:pPr>
          </w:p>
        </w:tc>
        <w:tc>
          <w:tcPr>
            <w:tcW w:w="2080" w:type="dxa"/>
            <w:vAlign w:val="bottom"/>
            <w:tcBorders>
              <w:bottom w:val="single" w:sz="8" w:color="auto"/>
            </w:tcBorders>
            <w:gridSpan w:val="3"/>
            <w:shd w:val="clear" w:color="auto" w:fill="EAEAEA"/>
          </w:tcPr>
          <w:p>
            <w:pPr>
              <w:ind w:left="300"/>
              <w:spacing w:after="0"/>
              <w:rPr>
                <w:sz w:val="20"/>
                <w:szCs w:val="20"/>
                <w:color w:val="auto"/>
              </w:rPr>
            </w:pPr>
            <w:r>
              <w:rPr>
                <w:rFonts w:ascii="Arial" w:cs="Arial" w:eastAsia="Arial" w:hAnsi="Arial"/>
                <w:sz w:val="10"/>
                <w:szCs w:val="10"/>
                <w:b w:val="1"/>
                <w:bCs w:val="1"/>
                <w:color w:val="auto"/>
              </w:rPr>
              <w:t xml:space="preserve">% Change </w:t>
            </w:r>
            <w:r>
              <w:rPr>
                <w:rFonts w:ascii="Arial" w:cs="Arial" w:eastAsia="Arial" w:hAnsi="Arial"/>
                <w:sz w:val="10"/>
                <w:szCs w:val="10"/>
                <w:color w:val="auto"/>
              </w:rPr>
              <w:t>(Annualized)</w:t>
            </w:r>
          </w:p>
        </w:tc>
        <w:tc>
          <w:tcPr>
            <w:tcW w:w="80" w:type="dxa"/>
            <w:vAlign w:val="bottom"/>
            <w:tcBorders>
              <w:bottom w:val="single" w:sz="8" w:color="EAEAEA"/>
            </w:tcBorders>
            <w:gridSpan w:val="2"/>
            <w:shd w:val="clear" w:color="auto" w:fill="EAEAEA"/>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1180" w:type="dxa"/>
            <w:vAlign w:val="bottom"/>
            <w:gridSpan w:val="2"/>
            <w:shd w:val="clear" w:color="auto" w:fill="EAEAEA"/>
          </w:tcPr>
          <w:p>
            <w:pPr>
              <w:spacing w:after="0"/>
              <w:rPr>
                <w:sz w:val="20"/>
                <w:szCs w:val="20"/>
                <w:color w:val="auto"/>
              </w:rPr>
            </w:pPr>
            <w:r>
              <w:rPr>
                <w:rFonts w:ascii="Arial" w:cs="Arial" w:eastAsia="Arial" w:hAnsi="Arial"/>
                <w:sz w:val="7"/>
                <w:szCs w:val="7"/>
                <w:color w:val="auto"/>
              </w:rPr>
              <w:t>(in millions, except per share data)</w:t>
            </w:r>
          </w:p>
        </w:tc>
        <w:tc>
          <w:tcPr>
            <w:tcW w:w="6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920" w:type="dxa"/>
            <w:vAlign w:val="bottom"/>
            <w:gridSpan w:val="2"/>
            <w:shd w:val="clear" w:color="auto" w:fill="EAEAEA"/>
          </w:tcPr>
          <w:p>
            <w:pPr>
              <w:jc w:val="right"/>
              <w:ind w:right="380"/>
              <w:spacing w:after="0"/>
              <w:rPr>
                <w:sz w:val="20"/>
                <w:szCs w:val="20"/>
                <w:color w:val="auto"/>
              </w:rPr>
            </w:pPr>
            <w:r>
              <w:rPr>
                <w:rFonts w:ascii="Arial" w:cs="Arial" w:eastAsia="Arial" w:hAnsi="Arial"/>
                <w:sz w:val="10"/>
                <w:szCs w:val="10"/>
                <w:b w:val="1"/>
                <w:bCs w:val="1"/>
                <w:color w:val="auto"/>
              </w:rPr>
              <w:t>1Q26</w:t>
            </w:r>
          </w:p>
        </w:tc>
        <w:tc>
          <w:tcPr>
            <w:tcW w:w="860" w:type="dxa"/>
            <w:vAlign w:val="bottom"/>
            <w:shd w:val="clear" w:color="auto" w:fill="EAEAEA"/>
          </w:tcPr>
          <w:p>
            <w:pPr>
              <w:jc w:val="right"/>
              <w:ind w:right="252"/>
              <w:spacing w:after="0"/>
              <w:rPr>
                <w:sz w:val="20"/>
                <w:szCs w:val="20"/>
                <w:color w:val="auto"/>
              </w:rPr>
            </w:pPr>
            <w:r>
              <w:rPr>
                <w:rFonts w:ascii="Arial" w:cs="Arial" w:eastAsia="Arial" w:hAnsi="Arial"/>
                <w:sz w:val="10"/>
                <w:szCs w:val="10"/>
                <w:b w:val="1"/>
                <w:bCs w:val="1"/>
                <w:color w:val="auto"/>
              </w:rPr>
              <w:t>4Q25</w:t>
            </w:r>
          </w:p>
        </w:tc>
        <w:tc>
          <w:tcPr>
            <w:tcW w:w="1040" w:type="dxa"/>
            <w:vAlign w:val="bottom"/>
            <w:gridSpan w:val="4"/>
            <w:shd w:val="clear" w:color="auto" w:fill="EAEAEA"/>
          </w:tcPr>
          <w:p>
            <w:pPr>
              <w:jc w:val="center"/>
              <w:spacing w:after="0"/>
              <w:rPr>
                <w:sz w:val="20"/>
                <w:szCs w:val="20"/>
                <w:color w:val="auto"/>
              </w:rPr>
            </w:pPr>
            <w:r>
              <w:rPr>
                <w:rFonts w:ascii="Arial" w:cs="Arial" w:eastAsia="Arial" w:hAnsi="Arial"/>
                <w:sz w:val="10"/>
                <w:szCs w:val="10"/>
                <w:b w:val="1"/>
                <w:bCs w:val="1"/>
                <w:color w:val="auto"/>
                <w:w w:val="97"/>
              </w:rPr>
              <w:t>1Q25</w:t>
            </w:r>
          </w:p>
        </w:tc>
        <w:tc>
          <w:tcPr>
            <w:tcW w:w="1540" w:type="dxa"/>
            <w:vAlign w:val="bottom"/>
            <w:gridSpan w:val="3"/>
            <w:shd w:val="clear" w:color="auto" w:fill="EAEAEA"/>
          </w:tcPr>
          <w:p>
            <w:pPr>
              <w:ind w:left="280"/>
              <w:spacing w:after="0"/>
              <w:rPr>
                <w:sz w:val="20"/>
                <w:szCs w:val="20"/>
                <w:color w:val="auto"/>
              </w:rPr>
            </w:pPr>
            <w:r>
              <w:rPr>
                <w:rFonts w:ascii="Arial" w:cs="Arial" w:eastAsia="Arial" w:hAnsi="Arial"/>
                <w:sz w:val="10"/>
                <w:szCs w:val="10"/>
                <w:b w:val="1"/>
                <w:bCs w:val="1"/>
                <w:color w:val="auto"/>
              </w:rPr>
              <w:t>1Q26 vs 4Q25</w:t>
            </w:r>
          </w:p>
        </w:tc>
        <w:tc>
          <w:tcPr>
            <w:tcW w:w="1060" w:type="dxa"/>
            <w:vAlign w:val="bottom"/>
            <w:gridSpan w:val="3"/>
            <w:shd w:val="clear" w:color="auto" w:fill="EAEAEA"/>
          </w:tcPr>
          <w:p>
            <w:pPr>
              <w:jc w:val="center"/>
              <w:ind w:right="320"/>
              <w:spacing w:after="0"/>
              <w:rPr>
                <w:sz w:val="20"/>
                <w:szCs w:val="20"/>
                <w:color w:val="auto"/>
              </w:rPr>
            </w:pPr>
            <w:r>
              <w:rPr>
                <w:rFonts w:ascii="Arial" w:cs="Arial" w:eastAsia="Arial" w:hAnsi="Arial"/>
                <w:sz w:val="10"/>
                <w:szCs w:val="10"/>
                <w:b w:val="1"/>
                <w:bCs w:val="1"/>
                <w:color w:val="auto"/>
                <w:w w:val="94"/>
              </w:rPr>
              <w:t>1Q26 vs 1Q25</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00" w:type="dxa"/>
            <w:vAlign w:val="bottom"/>
          </w:tcPr>
          <w:p>
            <w:pPr>
              <w:spacing w:after="0"/>
              <w:rPr>
                <w:sz w:val="9"/>
                <w:szCs w:val="9"/>
                <w:color w:val="auto"/>
              </w:rPr>
            </w:pPr>
          </w:p>
        </w:tc>
        <w:tc>
          <w:tcPr>
            <w:tcW w:w="118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w w:val="99"/>
              </w:rPr>
              <w:t>Balance Sheet Summary</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90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0"/>
                <w:szCs w:val="10"/>
                <w:color w:val="auto"/>
              </w:rPr>
              <w:t xml:space="preserve">Gross Loans </w:t>
            </w:r>
            <w:r>
              <w:rPr>
                <w:rFonts w:ascii="Arial" w:cs="Arial" w:eastAsia="Arial" w:hAnsi="Arial"/>
                <w:sz w:val="12"/>
                <w:szCs w:val="12"/>
                <w:color w:val="auto"/>
                <w:vertAlign w:val="superscript"/>
              </w:rPr>
              <w:t>(1)</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ind w:left="280"/>
              <w:spacing w:after="0"/>
              <w:rPr>
                <w:sz w:val="20"/>
                <w:szCs w:val="20"/>
                <w:color w:val="auto"/>
              </w:rPr>
            </w:pPr>
            <w:r>
              <w:rPr>
                <w:rFonts w:ascii="Arial" w:cs="Arial" w:eastAsia="Arial" w:hAnsi="Arial"/>
                <w:sz w:val="10"/>
                <w:szCs w:val="10"/>
                <w:b w:val="1"/>
                <w:bCs w:val="1"/>
                <w:color w:val="auto"/>
              </w:rPr>
              <w:t>$3,026</w:t>
            </w:r>
          </w:p>
        </w:tc>
        <w:tc>
          <w:tcPr>
            <w:tcW w:w="60" w:type="dxa"/>
            <w:vAlign w:val="bottom"/>
          </w:tcPr>
          <w:p>
            <w:pPr>
              <w:spacing w:after="0"/>
              <w:rPr>
                <w:sz w:val="12"/>
                <w:szCs w:val="12"/>
                <w:color w:val="auto"/>
              </w:rPr>
            </w:pPr>
          </w:p>
        </w:tc>
        <w:tc>
          <w:tcPr>
            <w:tcW w:w="860" w:type="dxa"/>
            <w:vAlign w:val="bottom"/>
          </w:tcPr>
          <w:p>
            <w:pPr>
              <w:jc w:val="right"/>
              <w:ind w:right="212"/>
              <w:spacing w:after="0"/>
              <w:rPr>
                <w:sz w:val="20"/>
                <w:szCs w:val="20"/>
                <w:color w:val="auto"/>
              </w:rPr>
            </w:pPr>
            <w:r>
              <w:rPr>
                <w:rFonts w:ascii="Arial" w:cs="Arial" w:eastAsia="Arial" w:hAnsi="Arial"/>
                <w:sz w:val="10"/>
                <w:szCs w:val="10"/>
                <w:color w:val="auto"/>
              </w:rPr>
              <w:t>$2,959</w:t>
            </w:r>
          </w:p>
        </w:tc>
        <w:tc>
          <w:tcPr>
            <w:tcW w:w="800" w:type="dxa"/>
            <w:vAlign w:val="bottom"/>
          </w:tcPr>
          <w:p>
            <w:pPr>
              <w:jc w:val="center"/>
              <w:ind w:left="192"/>
              <w:spacing w:after="0"/>
              <w:rPr>
                <w:sz w:val="20"/>
                <w:szCs w:val="20"/>
                <w:color w:val="auto"/>
              </w:rPr>
            </w:pPr>
            <w:r>
              <w:rPr>
                <w:rFonts w:ascii="Arial" w:cs="Arial" w:eastAsia="Arial" w:hAnsi="Arial"/>
                <w:sz w:val="10"/>
                <w:szCs w:val="10"/>
                <w:color w:val="auto"/>
                <w:w w:val="91"/>
              </w:rPr>
              <w:t>$2,678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jc w:val="center"/>
              <w:ind w:right="12"/>
              <w:spacing w:after="0"/>
              <w:rPr>
                <w:sz w:val="20"/>
                <w:szCs w:val="20"/>
                <w:color w:val="auto"/>
              </w:rPr>
            </w:pPr>
            <w:r>
              <w:rPr>
                <w:rFonts w:ascii="Arial" w:cs="Arial" w:eastAsia="Arial" w:hAnsi="Arial"/>
                <w:sz w:val="10"/>
                <w:szCs w:val="10"/>
                <w:color w:val="auto"/>
                <w:w w:val="96"/>
              </w:rPr>
              <w:t>9.2%</w:t>
            </w:r>
          </w:p>
        </w:tc>
        <w:tc>
          <w:tcPr>
            <w:tcW w:w="700" w:type="dxa"/>
            <w:vAlign w:val="bottom"/>
          </w:tcPr>
          <w:p>
            <w:pPr>
              <w:spacing w:after="0"/>
              <w:rPr>
                <w:sz w:val="12"/>
                <w:szCs w:val="12"/>
                <w:color w:val="auto"/>
              </w:rPr>
            </w:pPr>
          </w:p>
        </w:tc>
        <w:tc>
          <w:tcPr>
            <w:tcW w:w="980" w:type="dxa"/>
            <w:vAlign w:val="bottom"/>
          </w:tcPr>
          <w:p>
            <w:pPr>
              <w:jc w:val="center"/>
              <w:ind w:right="192"/>
              <w:spacing w:after="0"/>
              <w:rPr>
                <w:sz w:val="20"/>
                <w:szCs w:val="20"/>
                <w:color w:val="auto"/>
              </w:rPr>
            </w:pPr>
            <w:r>
              <w:rPr>
                <w:rFonts w:ascii="Arial" w:cs="Arial" w:eastAsia="Arial" w:hAnsi="Arial"/>
                <w:sz w:val="10"/>
                <w:szCs w:val="10"/>
                <w:color w:val="auto"/>
                <w:w w:val="91"/>
              </w:rPr>
              <w:t>13.0%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00" w:type="dxa"/>
            <w:vAlign w:val="bottom"/>
          </w:tcPr>
          <w:p>
            <w:pPr>
              <w:spacing w:after="0"/>
              <w:rPr>
                <w:sz w:val="11"/>
                <w:szCs w:val="11"/>
                <w:color w:val="auto"/>
              </w:rPr>
            </w:pPr>
          </w:p>
        </w:tc>
        <w:tc>
          <w:tcPr>
            <w:tcW w:w="1180" w:type="dxa"/>
            <w:vAlign w:val="bottom"/>
            <w:gridSpan w:val="2"/>
          </w:tcPr>
          <w:p>
            <w:pPr>
              <w:spacing w:after="0"/>
              <w:rPr>
                <w:sz w:val="20"/>
                <w:szCs w:val="20"/>
                <w:color w:val="auto"/>
              </w:rPr>
            </w:pPr>
            <w:r>
              <w:rPr>
                <w:rFonts w:ascii="Arial" w:cs="Arial" w:eastAsia="Arial" w:hAnsi="Arial"/>
                <w:sz w:val="10"/>
                <w:szCs w:val="10"/>
                <w:color w:val="auto"/>
              </w:rPr>
              <w:t>Total Deposits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252"/>
              <w:spacing w:after="0"/>
              <w:rPr>
                <w:sz w:val="20"/>
                <w:szCs w:val="20"/>
                <w:color w:val="auto"/>
              </w:rPr>
            </w:pPr>
            <w:r>
              <w:rPr>
                <w:rFonts w:ascii="Arial" w:cs="Arial" w:eastAsia="Arial" w:hAnsi="Arial"/>
                <w:sz w:val="10"/>
                <w:szCs w:val="10"/>
                <w:b w:val="1"/>
                <w:bCs w:val="1"/>
                <w:color w:val="auto"/>
              </w:rPr>
              <w:t>3,292</w:t>
            </w:r>
          </w:p>
        </w:tc>
        <w:tc>
          <w:tcPr>
            <w:tcW w:w="60" w:type="dxa"/>
            <w:vAlign w:val="bottom"/>
          </w:tcPr>
          <w:p>
            <w:pPr>
              <w:spacing w:after="0"/>
              <w:rPr>
                <w:sz w:val="11"/>
                <w:szCs w:val="11"/>
                <w:color w:val="auto"/>
              </w:rPr>
            </w:pPr>
          </w:p>
        </w:tc>
        <w:tc>
          <w:tcPr>
            <w:tcW w:w="860" w:type="dxa"/>
            <w:vAlign w:val="bottom"/>
          </w:tcPr>
          <w:p>
            <w:pPr>
              <w:jc w:val="right"/>
              <w:ind w:right="252"/>
              <w:spacing w:after="0"/>
              <w:rPr>
                <w:sz w:val="20"/>
                <w:szCs w:val="20"/>
                <w:color w:val="auto"/>
              </w:rPr>
            </w:pPr>
            <w:r>
              <w:rPr>
                <w:rFonts w:ascii="Arial" w:cs="Arial" w:eastAsia="Arial" w:hAnsi="Arial"/>
                <w:sz w:val="10"/>
                <w:szCs w:val="10"/>
                <w:color w:val="auto"/>
              </w:rPr>
              <w:t>3,093</w:t>
            </w:r>
          </w:p>
        </w:tc>
        <w:tc>
          <w:tcPr>
            <w:tcW w:w="800" w:type="dxa"/>
            <w:vAlign w:val="bottom"/>
          </w:tcPr>
          <w:p>
            <w:pPr>
              <w:jc w:val="center"/>
              <w:ind w:left="192"/>
              <w:spacing w:after="0"/>
              <w:rPr>
                <w:sz w:val="20"/>
                <w:szCs w:val="20"/>
                <w:color w:val="auto"/>
              </w:rPr>
            </w:pPr>
            <w:r>
              <w:rPr>
                <w:rFonts w:ascii="Arial" w:cs="Arial" w:eastAsia="Arial" w:hAnsi="Arial"/>
                <w:sz w:val="10"/>
                <w:szCs w:val="10"/>
                <w:color w:val="auto"/>
                <w:w w:val="95"/>
              </w:rPr>
              <w:t>2,891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jc w:val="center"/>
              <w:ind w:right="32"/>
              <w:spacing w:after="0"/>
              <w:rPr>
                <w:sz w:val="20"/>
                <w:szCs w:val="20"/>
                <w:color w:val="auto"/>
              </w:rPr>
            </w:pPr>
            <w:r>
              <w:rPr>
                <w:rFonts w:ascii="Arial" w:cs="Arial" w:eastAsia="Arial" w:hAnsi="Arial"/>
                <w:sz w:val="10"/>
                <w:szCs w:val="10"/>
                <w:color w:val="auto"/>
                <w:w w:val="98"/>
              </w:rPr>
              <w:t>26.1%</w:t>
            </w:r>
          </w:p>
        </w:tc>
        <w:tc>
          <w:tcPr>
            <w:tcW w:w="700" w:type="dxa"/>
            <w:vAlign w:val="bottom"/>
          </w:tcPr>
          <w:p>
            <w:pPr>
              <w:spacing w:after="0"/>
              <w:rPr>
                <w:sz w:val="11"/>
                <w:szCs w:val="11"/>
                <w:color w:val="auto"/>
              </w:rPr>
            </w:pPr>
          </w:p>
        </w:tc>
        <w:tc>
          <w:tcPr>
            <w:tcW w:w="980" w:type="dxa"/>
            <w:vAlign w:val="bottom"/>
          </w:tcPr>
          <w:p>
            <w:pPr>
              <w:jc w:val="center"/>
              <w:ind w:right="192"/>
              <w:spacing w:after="0"/>
              <w:rPr>
                <w:sz w:val="20"/>
                <w:szCs w:val="20"/>
                <w:color w:val="auto"/>
              </w:rPr>
            </w:pPr>
            <w:r>
              <w:rPr>
                <w:rFonts w:ascii="Arial" w:cs="Arial" w:eastAsia="Arial" w:hAnsi="Arial"/>
                <w:sz w:val="10"/>
                <w:szCs w:val="10"/>
                <w:color w:val="auto"/>
                <w:w w:val="91"/>
              </w:rPr>
              <w:t>13.9%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180" w:type="dxa"/>
            <w:vAlign w:val="bottom"/>
            <w:gridSpan w:val="2"/>
          </w:tcPr>
          <w:p>
            <w:pPr>
              <w:spacing w:after="0"/>
              <w:rPr>
                <w:sz w:val="20"/>
                <w:szCs w:val="20"/>
                <w:color w:val="auto"/>
              </w:rPr>
            </w:pPr>
            <w:r>
              <w:rPr>
                <w:rFonts w:ascii="Arial" w:cs="Arial" w:eastAsia="Arial" w:hAnsi="Arial"/>
                <w:sz w:val="10"/>
                <w:szCs w:val="10"/>
                <w:color w:val="auto"/>
              </w:rPr>
              <w:t>Customer Deposits</w:t>
            </w:r>
            <w:r>
              <w:rPr>
                <w:rFonts w:ascii="Arial" w:cs="Arial" w:eastAsia="Arial" w:hAnsi="Arial"/>
                <w:sz w:val="12"/>
                <w:szCs w:val="12"/>
                <w:color w:val="auto"/>
                <w:vertAlign w:val="superscript"/>
              </w:rPr>
              <w:t>(2)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252"/>
              <w:spacing w:after="0"/>
              <w:rPr>
                <w:sz w:val="20"/>
                <w:szCs w:val="20"/>
                <w:color w:val="auto"/>
              </w:rPr>
            </w:pPr>
            <w:r>
              <w:rPr>
                <w:rFonts w:ascii="Arial" w:cs="Arial" w:eastAsia="Arial" w:hAnsi="Arial"/>
                <w:sz w:val="10"/>
                <w:szCs w:val="10"/>
                <w:b w:val="1"/>
                <w:bCs w:val="1"/>
                <w:color w:val="auto"/>
              </w:rPr>
              <w:t>2,989</w:t>
            </w:r>
          </w:p>
        </w:tc>
        <w:tc>
          <w:tcPr>
            <w:tcW w:w="60" w:type="dxa"/>
            <w:vAlign w:val="bottom"/>
          </w:tcPr>
          <w:p>
            <w:pPr>
              <w:spacing w:after="0"/>
              <w:rPr>
                <w:sz w:val="11"/>
                <w:szCs w:val="11"/>
                <w:color w:val="auto"/>
              </w:rPr>
            </w:pPr>
          </w:p>
        </w:tc>
        <w:tc>
          <w:tcPr>
            <w:tcW w:w="860" w:type="dxa"/>
            <w:vAlign w:val="bottom"/>
          </w:tcPr>
          <w:p>
            <w:pPr>
              <w:jc w:val="right"/>
              <w:ind w:right="252"/>
              <w:spacing w:after="0"/>
              <w:rPr>
                <w:sz w:val="20"/>
                <w:szCs w:val="20"/>
                <w:color w:val="auto"/>
              </w:rPr>
            </w:pPr>
            <w:r>
              <w:rPr>
                <w:rFonts w:ascii="Arial" w:cs="Arial" w:eastAsia="Arial" w:hAnsi="Arial"/>
                <w:sz w:val="10"/>
                <w:szCs w:val="10"/>
                <w:color w:val="auto"/>
              </w:rPr>
              <w:t>2,717</w:t>
            </w:r>
          </w:p>
        </w:tc>
        <w:tc>
          <w:tcPr>
            <w:tcW w:w="800" w:type="dxa"/>
            <w:vAlign w:val="bottom"/>
          </w:tcPr>
          <w:p>
            <w:pPr>
              <w:jc w:val="center"/>
              <w:ind w:left="192"/>
              <w:spacing w:after="0"/>
              <w:rPr>
                <w:sz w:val="20"/>
                <w:szCs w:val="20"/>
                <w:color w:val="auto"/>
              </w:rPr>
            </w:pPr>
            <w:r>
              <w:rPr>
                <w:rFonts w:ascii="Arial" w:cs="Arial" w:eastAsia="Arial" w:hAnsi="Arial"/>
                <w:sz w:val="10"/>
                <w:szCs w:val="10"/>
                <w:color w:val="auto"/>
                <w:w w:val="95"/>
              </w:rPr>
              <w:t>2,584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jc w:val="center"/>
              <w:ind w:right="32"/>
              <w:spacing w:after="0"/>
              <w:rPr>
                <w:sz w:val="20"/>
                <w:szCs w:val="20"/>
                <w:color w:val="auto"/>
              </w:rPr>
            </w:pPr>
            <w:r>
              <w:rPr>
                <w:rFonts w:ascii="Arial" w:cs="Arial" w:eastAsia="Arial" w:hAnsi="Arial"/>
                <w:sz w:val="10"/>
                <w:szCs w:val="10"/>
                <w:color w:val="auto"/>
                <w:w w:val="98"/>
              </w:rPr>
              <w:t>40.7%</w:t>
            </w:r>
          </w:p>
        </w:tc>
        <w:tc>
          <w:tcPr>
            <w:tcW w:w="700" w:type="dxa"/>
            <w:vAlign w:val="bottom"/>
          </w:tcPr>
          <w:p>
            <w:pPr>
              <w:spacing w:after="0"/>
              <w:rPr>
                <w:sz w:val="11"/>
                <w:szCs w:val="11"/>
                <w:color w:val="auto"/>
              </w:rPr>
            </w:pPr>
          </w:p>
        </w:tc>
        <w:tc>
          <w:tcPr>
            <w:tcW w:w="980" w:type="dxa"/>
            <w:vAlign w:val="bottom"/>
          </w:tcPr>
          <w:p>
            <w:pPr>
              <w:jc w:val="center"/>
              <w:ind w:right="192"/>
              <w:spacing w:after="0"/>
              <w:rPr>
                <w:sz w:val="20"/>
                <w:szCs w:val="20"/>
                <w:color w:val="auto"/>
              </w:rPr>
            </w:pPr>
            <w:r>
              <w:rPr>
                <w:rFonts w:ascii="Arial" w:cs="Arial" w:eastAsia="Arial" w:hAnsi="Arial"/>
                <w:sz w:val="10"/>
                <w:szCs w:val="10"/>
                <w:color w:val="auto"/>
                <w:w w:val="91"/>
              </w:rPr>
              <w:t>15.7%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2080" w:type="dxa"/>
            <w:vAlign w:val="bottom"/>
            <w:tcBorders>
              <w:bottom w:val="single" w:sz="8" w:color="auto"/>
            </w:tcBorders>
            <w:gridSpan w:val="5"/>
          </w:tcPr>
          <w:p>
            <w:pPr>
              <w:spacing w:after="0" w:line="134" w:lineRule="exact"/>
              <w:rPr>
                <w:sz w:val="20"/>
                <w:szCs w:val="20"/>
                <w:color w:val="auto"/>
              </w:rPr>
            </w:pPr>
            <w:r>
              <w:rPr>
                <w:rFonts w:ascii="Arial" w:cs="Arial" w:eastAsia="Arial" w:hAnsi="Arial"/>
                <w:sz w:val="10"/>
                <w:szCs w:val="10"/>
                <w:color w:val="auto"/>
              </w:rPr>
              <w:t>Tangible Book Value per share</w:t>
            </w:r>
            <w:r>
              <w:rPr>
                <w:rFonts w:ascii="Arial" w:cs="Arial" w:eastAsia="Arial" w:hAnsi="Arial"/>
                <w:sz w:val="12"/>
                <w:szCs w:val="12"/>
                <w:color w:val="auto"/>
                <w:vertAlign w:val="superscript"/>
              </w:rPr>
              <w:t>(3)</w:t>
            </w: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$22.62</w:t>
            </w: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$22.05</w:t>
            </w:r>
          </w:p>
        </w:tc>
        <w:tc>
          <w:tcPr>
            <w:tcW w:w="800" w:type="dxa"/>
            <w:vAlign w:val="bottom"/>
            <w:tcBorders>
              <w:bottom w:val="single" w:sz="8" w:color="auto"/>
            </w:tcBorders>
          </w:tcPr>
          <w:p>
            <w:pPr>
              <w:jc w:val="center"/>
              <w:ind w:left="192"/>
              <w:spacing w:after="0"/>
              <w:rPr>
                <w:sz w:val="20"/>
                <w:szCs w:val="20"/>
                <w:color w:val="auto"/>
              </w:rPr>
            </w:pPr>
            <w:r>
              <w:rPr>
                <w:rFonts w:ascii="Arial" w:cs="Arial" w:eastAsia="Arial" w:hAnsi="Arial"/>
                <w:sz w:val="10"/>
                <w:szCs w:val="10"/>
                <w:color w:val="auto"/>
                <w:w w:val="91"/>
              </w:rPr>
              <w:t>$19.81</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32"/>
              <w:spacing w:after="0"/>
              <w:rPr>
                <w:sz w:val="20"/>
                <w:szCs w:val="20"/>
                <w:color w:val="auto"/>
              </w:rPr>
            </w:pPr>
            <w:r>
              <w:rPr>
                <w:rFonts w:ascii="Arial" w:cs="Arial" w:eastAsia="Arial" w:hAnsi="Arial"/>
                <w:sz w:val="10"/>
                <w:szCs w:val="10"/>
                <w:color w:val="auto"/>
                <w:w w:val="98"/>
              </w:rPr>
              <w:t>10.5%</w:t>
            </w:r>
          </w:p>
        </w:tc>
        <w:tc>
          <w:tcPr>
            <w:tcW w:w="7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92"/>
              <w:spacing w:after="0"/>
              <w:rPr>
                <w:sz w:val="20"/>
                <w:szCs w:val="20"/>
                <w:color w:val="auto"/>
              </w:rPr>
            </w:pPr>
            <w:r>
              <w:rPr>
                <w:rFonts w:ascii="Arial" w:cs="Arial" w:eastAsia="Arial" w:hAnsi="Arial"/>
                <w:sz w:val="10"/>
                <w:szCs w:val="10"/>
                <w:color w:val="auto"/>
                <w:w w:val="91"/>
              </w:rPr>
              <w:t>14.2%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tcBorders>
              <w:bottom w:val="single" w:sz="8" w:color="EAEAEA"/>
            </w:tcBorders>
            <w:shd w:val="clear" w:color="auto" w:fill="EAEAEA"/>
          </w:tcPr>
          <w:p>
            <w:pPr>
              <w:spacing w:after="0"/>
              <w:rPr>
                <w:sz w:val="11"/>
                <w:szCs w:val="11"/>
                <w:color w:val="auto"/>
              </w:rPr>
            </w:pPr>
          </w:p>
        </w:tc>
        <w:tc>
          <w:tcPr>
            <w:tcW w:w="220" w:type="dxa"/>
            <w:vAlign w:val="bottom"/>
            <w:tcBorders>
              <w:bottom w:val="single" w:sz="8" w:color="EAEAEA"/>
            </w:tcBorders>
            <w:shd w:val="clear" w:color="auto" w:fill="EAEAEA"/>
          </w:tcPr>
          <w:p>
            <w:pPr>
              <w:spacing w:after="0"/>
              <w:rPr>
                <w:sz w:val="11"/>
                <w:szCs w:val="11"/>
                <w:color w:val="auto"/>
              </w:rPr>
            </w:pPr>
          </w:p>
        </w:tc>
        <w:tc>
          <w:tcPr>
            <w:tcW w:w="96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680" w:type="dxa"/>
            <w:vAlign w:val="bottom"/>
            <w:tcBorders>
              <w:bottom w:val="single" w:sz="8" w:color="auto"/>
            </w:tcBorders>
            <w:shd w:val="clear" w:color="auto" w:fill="EAEAEA"/>
          </w:tcPr>
          <w:p>
            <w:pPr>
              <w:spacing w:after="0"/>
              <w:rPr>
                <w:sz w:val="11"/>
                <w:szCs w:val="11"/>
                <w:color w:val="auto"/>
              </w:rPr>
            </w:pPr>
          </w:p>
        </w:tc>
        <w:tc>
          <w:tcPr>
            <w:tcW w:w="160" w:type="dxa"/>
            <w:vAlign w:val="bottom"/>
            <w:tcBorders>
              <w:bottom w:val="single" w:sz="8" w:color="auto"/>
            </w:tcBorders>
            <w:shd w:val="clear" w:color="auto" w:fill="EAEAEA"/>
          </w:tcPr>
          <w:p>
            <w:pPr>
              <w:spacing w:after="0"/>
              <w:rPr>
                <w:sz w:val="11"/>
                <w:szCs w:val="11"/>
                <w:color w:val="auto"/>
              </w:rPr>
            </w:pPr>
          </w:p>
        </w:tc>
        <w:tc>
          <w:tcPr>
            <w:tcW w:w="920" w:type="dxa"/>
            <w:vAlign w:val="bottom"/>
            <w:tcBorders>
              <w:bottom w:val="single" w:sz="8" w:color="auto"/>
            </w:tcBorders>
            <w:gridSpan w:val="2"/>
            <w:shd w:val="clear" w:color="auto" w:fill="EAEAEA"/>
          </w:tcPr>
          <w:p>
            <w:pPr>
              <w:ind w:left="220"/>
              <w:spacing w:after="0"/>
              <w:rPr>
                <w:sz w:val="20"/>
                <w:szCs w:val="20"/>
                <w:color w:val="auto"/>
              </w:rPr>
            </w:pPr>
            <w:r>
              <w:rPr>
                <w:rFonts w:ascii="Arial" w:cs="Arial" w:eastAsia="Arial" w:hAnsi="Arial"/>
                <w:sz w:val="10"/>
                <w:szCs w:val="10"/>
                <w:b w:val="1"/>
                <w:bCs w:val="1"/>
                <w:color w:val="auto"/>
              </w:rPr>
              <w:t>GAAP</w:t>
            </w:r>
          </w:p>
        </w:tc>
        <w:tc>
          <w:tcPr>
            <w:tcW w:w="860" w:type="dxa"/>
            <w:vAlign w:val="bottom"/>
            <w:tcBorders>
              <w:bottom w:val="single" w:sz="8" w:color="auto"/>
            </w:tcBorders>
            <w:shd w:val="clear" w:color="auto" w:fill="EAEAEA"/>
          </w:tcPr>
          <w:p>
            <w:pPr>
              <w:spacing w:after="0"/>
              <w:rPr>
                <w:sz w:val="11"/>
                <w:szCs w:val="11"/>
                <w:color w:val="auto"/>
              </w:rPr>
            </w:pPr>
          </w:p>
        </w:tc>
        <w:tc>
          <w:tcPr>
            <w:tcW w:w="80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440" w:type="dxa"/>
            <w:vAlign w:val="bottom"/>
            <w:tcBorders>
              <w:bottom w:val="single" w:sz="8" w:color="auto"/>
            </w:tcBorders>
            <w:shd w:val="clear" w:color="auto" w:fill="EAEAEA"/>
          </w:tcPr>
          <w:p>
            <w:pPr>
              <w:spacing w:after="0"/>
              <w:rPr>
                <w:sz w:val="11"/>
                <w:szCs w:val="11"/>
                <w:color w:val="auto"/>
              </w:rPr>
            </w:pPr>
          </w:p>
        </w:tc>
        <w:tc>
          <w:tcPr>
            <w:tcW w:w="400" w:type="dxa"/>
            <w:vAlign w:val="bottom"/>
            <w:tcBorders>
              <w:bottom w:val="single" w:sz="8" w:color="auto"/>
            </w:tcBorders>
            <w:shd w:val="clear" w:color="auto" w:fill="EAEAEA"/>
          </w:tcPr>
          <w:p>
            <w:pPr>
              <w:spacing w:after="0"/>
              <w:rPr>
                <w:sz w:val="11"/>
                <w:szCs w:val="11"/>
                <w:color w:val="auto"/>
              </w:rPr>
            </w:pPr>
          </w:p>
        </w:tc>
        <w:tc>
          <w:tcPr>
            <w:tcW w:w="700" w:type="dxa"/>
            <w:vAlign w:val="bottom"/>
            <w:tcBorders>
              <w:bottom w:val="single" w:sz="8" w:color="auto"/>
            </w:tcBorders>
            <w:shd w:val="clear" w:color="auto" w:fill="EAEAEA"/>
          </w:tcPr>
          <w:p>
            <w:pPr>
              <w:spacing w:after="0"/>
              <w:rPr>
                <w:sz w:val="11"/>
                <w:szCs w:val="11"/>
                <w:color w:val="auto"/>
              </w:rPr>
            </w:pPr>
          </w:p>
        </w:tc>
        <w:tc>
          <w:tcPr>
            <w:tcW w:w="1060" w:type="dxa"/>
            <w:vAlign w:val="bottom"/>
            <w:tcBorders>
              <w:bottom w:val="single" w:sz="8" w:color="auto"/>
            </w:tcBorders>
            <w:gridSpan w:val="3"/>
            <w:shd w:val="clear" w:color="auto" w:fill="EAEAEA"/>
          </w:tcPr>
          <w:p>
            <w:pPr>
              <w:ind w:left="360"/>
              <w:spacing w:after="0" w:line="135" w:lineRule="exact"/>
              <w:rPr>
                <w:sz w:val="20"/>
                <w:szCs w:val="20"/>
                <w:color w:val="auto"/>
              </w:rPr>
            </w:pPr>
            <w:r>
              <w:rPr>
                <w:rFonts w:ascii="Arial" w:cs="Arial" w:eastAsia="Arial" w:hAnsi="Arial"/>
                <w:sz w:val="10"/>
                <w:szCs w:val="10"/>
                <w:b w:val="1"/>
                <w:bCs w:val="1"/>
                <w:color w:val="auto"/>
              </w:rPr>
              <w:t>Core</w:t>
            </w:r>
            <w:r>
              <w:rPr>
                <w:rFonts w:ascii="Arial" w:cs="Arial" w:eastAsia="Arial" w:hAnsi="Arial"/>
                <w:sz w:val="12"/>
                <w:szCs w:val="12"/>
                <w:b w:val="1"/>
                <w:bCs w:val="1"/>
                <w:color w:val="auto"/>
                <w:vertAlign w:val="superscript"/>
              </w:rPr>
              <w:t>(3)</w:t>
            </w:r>
          </w:p>
        </w:tc>
        <w:tc>
          <w:tcPr>
            <w:tcW w:w="20" w:type="dxa"/>
            <w:vAlign w:val="bottom"/>
            <w:tcBorders>
              <w:bottom w:val="single" w:sz="8" w:color="auto"/>
            </w:tcBorders>
            <w:shd w:val="clear" w:color="auto" w:fill="EAEAEA"/>
          </w:tcPr>
          <w:p>
            <w:pPr>
              <w:spacing w:after="0"/>
              <w:rPr>
                <w:sz w:val="11"/>
                <w:szCs w:val="11"/>
                <w:color w:val="auto"/>
              </w:rPr>
            </w:pPr>
          </w:p>
        </w:tc>
        <w:tc>
          <w:tcPr>
            <w:tcW w:w="820" w:type="dxa"/>
            <w:vAlign w:val="bottom"/>
            <w:tcBorders>
              <w:bottom w:val="single" w:sz="8" w:color="auto"/>
            </w:tcBorders>
            <w:shd w:val="clear" w:color="auto" w:fill="EAEAEA"/>
          </w:tcPr>
          <w:p>
            <w:pPr>
              <w:spacing w:after="0"/>
              <w:rPr>
                <w:sz w:val="11"/>
                <w:szCs w:val="11"/>
                <w:color w:val="auto"/>
              </w:rPr>
            </w:pPr>
          </w:p>
        </w:tc>
        <w:tc>
          <w:tcPr>
            <w:tcW w:w="84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EAEAEA"/>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900" w:type="dxa"/>
            <w:vAlign w:val="bottom"/>
            <w:tcBorders>
              <w:bottom w:val="single" w:sz="8" w:color="EAEAEA"/>
            </w:tcBorders>
            <w:shd w:val="clear" w:color="auto" w:fill="EAEAEA"/>
          </w:tcPr>
          <w:p>
            <w:pPr>
              <w:spacing w:after="0"/>
              <w:rPr>
                <w:sz w:val="10"/>
                <w:szCs w:val="10"/>
                <w:color w:val="auto"/>
              </w:rPr>
            </w:pPr>
          </w:p>
        </w:tc>
        <w:tc>
          <w:tcPr>
            <w:tcW w:w="220" w:type="dxa"/>
            <w:vAlign w:val="bottom"/>
            <w:tcBorders>
              <w:bottom w:val="single" w:sz="8" w:color="EAEAEA"/>
            </w:tcBorders>
            <w:shd w:val="clear" w:color="auto" w:fill="EAEAEA"/>
          </w:tcPr>
          <w:p>
            <w:pPr>
              <w:spacing w:after="0"/>
              <w:rPr>
                <w:sz w:val="10"/>
                <w:szCs w:val="10"/>
                <w:color w:val="auto"/>
              </w:rPr>
            </w:pPr>
          </w:p>
        </w:tc>
        <w:tc>
          <w:tcPr>
            <w:tcW w:w="960" w:type="dxa"/>
            <w:vAlign w:val="bottom"/>
            <w:tcBorders>
              <w:bottom w:val="single" w:sz="8" w:color="auto"/>
            </w:tcBorders>
            <w:shd w:val="clear" w:color="auto" w:fill="EAEAEA"/>
          </w:tcPr>
          <w:p>
            <w:pPr>
              <w:spacing w:after="0"/>
              <w:rPr>
                <w:sz w:val="10"/>
                <w:szCs w:val="10"/>
                <w:color w:val="auto"/>
              </w:rPr>
            </w:pPr>
          </w:p>
        </w:tc>
        <w:tc>
          <w:tcPr>
            <w:tcW w:w="60" w:type="dxa"/>
            <w:vAlign w:val="bottom"/>
            <w:tcBorders>
              <w:bottom w:val="single" w:sz="8" w:color="auto"/>
            </w:tcBorders>
            <w:shd w:val="clear" w:color="auto" w:fill="EAEAEA"/>
          </w:tcPr>
          <w:p>
            <w:pPr>
              <w:spacing w:after="0"/>
              <w:rPr>
                <w:sz w:val="10"/>
                <w:szCs w:val="10"/>
                <w:color w:val="auto"/>
              </w:rPr>
            </w:pPr>
          </w:p>
        </w:tc>
        <w:tc>
          <w:tcPr>
            <w:tcW w:w="840" w:type="dxa"/>
            <w:vAlign w:val="bottom"/>
            <w:tcBorders>
              <w:bottom w:val="single" w:sz="8" w:color="auto"/>
            </w:tcBorders>
            <w:gridSpan w:val="2"/>
            <w:shd w:val="clear" w:color="auto" w:fill="EAEAEA"/>
          </w:tcPr>
          <w:p>
            <w:pPr>
              <w:spacing w:after="0"/>
              <w:rPr>
                <w:sz w:val="20"/>
                <w:szCs w:val="20"/>
                <w:color w:val="auto"/>
              </w:rPr>
            </w:pPr>
            <w:r>
              <w:rPr>
                <w:rFonts w:ascii="Arial" w:cs="Arial" w:eastAsia="Arial" w:hAnsi="Arial"/>
                <w:sz w:val="10"/>
                <w:szCs w:val="10"/>
                <w:b w:val="1"/>
                <w:bCs w:val="1"/>
                <w:color w:val="auto"/>
              </w:rPr>
              <w:t>Quarter Ended</w:t>
            </w:r>
          </w:p>
        </w:tc>
        <w:tc>
          <w:tcPr>
            <w:tcW w:w="860" w:type="dxa"/>
            <w:vAlign w:val="bottom"/>
            <w:tcBorders>
              <w:bottom w:val="single" w:sz="8" w:color="auto"/>
            </w:tcBorders>
            <w:shd w:val="clear" w:color="auto" w:fill="EAEAEA"/>
          </w:tcPr>
          <w:p>
            <w:pPr>
              <w:spacing w:after="0"/>
              <w:rPr>
                <w:sz w:val="10"/>
                <w:szCs w:val="10"/>
                <w:color w:val="auto"/>
              </w:rPr>
            </w:pPr>
          </w:p>
        </w:tc>
        <w:tc>
          <w:tcPr>
            <w:tcW w:w="60" w:type="dxa"/>
            <w:vAlign w:val="bottom"/>
            <w:tcBorders>
              <w:bottom w:val="single" w:sz="8" w:color="EAEAEA"/>
            </w:tcBorders>
            <w:shd w:val="clear" w:color="auto" w:fill="EAEAEA"/>
          </w:tcPr>
          <w:p>
            <w:pPr>
              <w:spacing w:after="0"/>
              <w:rPr>
                <w:sz w:val="10"/>
                <w:szCs w:val="10"/>
                <w:color w:val="auto"/>
              </w:rPr>
            </w:pPr>
          </w:p>
        </w:tc>
        <w:tc>
          <w:tcPr>
            <w:tcW w:w="1660" w:type="dxa"/>
            <w:vAlign w:val="bottom"/>
            <w:tcBorders>
              <w:bottom w:val="single" w:sz="8" w:color="auto"/>
            </w:tcBorders>
            <w:gridSpan w:val="2"/>
            <w:shd w:val="clear" w:color="auto" w:fill="EAEAEA"/>
          </w:tcPr>
          <w:p>
            <w:pPr>
              <w:ind w:left="660"/>
              <w:spacing w:after="0"/>
              <w:rPr>
                <w:sz w:val="20"/>
                <w:szCs w:val="20"/>
                <w:color w:val="auto"/>
              </w:rPr>
            </w:pPr>
            <w:r>
              <w:rPr>
                <w:rFonts w:ascii="Arial" w:cs="Arial" w:eastAsia="Arial" w:hAnsi="Arial"/>
                <w:sz w:val="10"/>
                <w:szCs w:val="10"/>
                <w:b w:val="1"/>
                <w:bCs w:val="1"/>
                <w:color w:val="auto"/>
              </w:rPr>
              <w:t>Change</w:t>
            </w:r>
          </w:p>
        </w:tc>
        <w:tc>
          <w:tcPr>
            <w:tcW w:w="80" w:type="dxa"/>
            <w:vAlign w:val="bottom"/>
            <w:tcBorders>
              <w:bottom w:val="single" w:sz="8" w:color="EAEAEA"/>
            </w:tcBorders>
            <w:shd w:val="clear" w:color="auto" w:fill="EAEAEA"/>
          </w:tcPr>
          <w:p>
            <w:pPr>
              <w:spacing w:after="0"/>
              <w:rPr>
                <w:sz w:val="10"/>
                <w:szCs w:val="10"/>
                <w:color w:val="auto"/>
              </w:rPr>
            </w:pPr>
          </w:p>
        </w:tc>
        <w:tc>
          <w:tcPr>
            <w:tcW w:w="160" w:type="dxa"/>
            <w:vAlign w:val="bottom"/>
            <w:tcBorders>
              <w:bottom w:val="single" w:sz="8" w:color="auto"/>
            </w:tcBorders>
            <w:gridSpan w:val="2"/>
            <w:shd w:val="clear" w:color="auto" w:fill="EAEAEA"/>
          </w:tcPr>
          <w:p>
            <w:pPr>
              <w:spacing w:after="0"/>
              <w:rPr>
                <w:sz w:val="10"/>
                <w:szCs w:val="10"/>
                <w:color w:val="auto"/>
              </w:rPr>
            </w:pPr>
          </w:p>
        </w:tc>
        <w:tc>
          <w:tcPr>
            <w:tcW w:w="440" w:type="dxa"/>
            <w:vAlign w:val="bottom"/>
            <w:tcBorders>
              <w:bottom w:val="single" w:sz="8" w:color="auto"/>
            </w:tcBorders>
            <w:shd w:val="clear" w:color="auto" w:fill="EAEAEA"/>
          </w:tcPr>
          <w:p>
            <w:pPr>
              <w:spacing w:after="0"/>
              <w:rPr>
                <w:sz w:val="10"/>
                <w:szCs w:val="10"/>
                <w:color w:val="auto"/>
              </w:rPr>
            </w:pPr>
          </w:p>
        </w:tc>
        <w:tc>
          <w:tcPr>
            <w:tcW w:w="400" w:type="dxa"/>
            <w:vAlign w:val="bottom"/>
            <w:tcBorders>
              <w:bottom w:val="single" w:sz="8" w:color="auto"/>
            </w:tcBorders>
            <w:shd w:val="clear" w:color="auto" w:fill="EAEAEA"/>
          </w:tcPr>
          <w:p>
            <w:pPr>
              <w:spacing w:after="0"/>
              <w:rPr>
                <w:sz w:val="10"/>
                <w:szCs w:val="10"/>
                <w:color w:val="auto"/>
              </w:rPr>
            </w:pPr>
          </w:p>
        </w:tc>
        <w:tc>
          <w:tcPr>
            <w:tcW w:w="70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0"/>
                <w:szCs w:val="10"/>
                <w:b w:val="1"/>
                <w:bCs w:val="1"/>
                <w:color w:val="auto"/>
                <w:w w:val="94"/>
              </w:rPr>
              <w:t>Quarter Ended</w:t>
            </w:r>
          </w:p>
        </w:tc>
        <w:tc>
          <w:tcPr>
            <w:tcW w:w="980" w:type="dxa"/>
            <w:vAlign w:val="bottom"/>
            <w:tcBorders>
              <w:bottom w:val="single" w:sz="8" w:color="auto"/>
            </w:tcBorders>
            <w:shd w:val="clear" w:color="auto" w:fill="EAEAEA"/>
          </w:tcPr>
          <w:p>
            <w:pPr>
              <w:spacing w:after="0"/>
              <w:rPr>
                <w:sz w:val="10"/>
                <w:szCs w:val="10"/>
                <w:color w:val="auto"/>
              </w:rPr>
            </w:pPr>
          </w:p>
        </w:tc>
        <w:tc>
          <w:tcPr>
            <w:tcW w:w="20" w:type="dxa"/>
            <w:vAlign w:val="bottom"/>
            <w:tcBorders>
              <w:bottom w:val="single" w:sz="8" w:color="auto"/>
            </w:tcBorders>
            <w:shd w:val="clear" w:color="auto" w:fill="EAEAEA"/>
          </w:tcPr>
          <w:p>
            <w:pPr>
              <w:spacing w:after="0"/>
              <w:rPr>
                <w:sz w:val="10"/>
                <w:szCs w:val="10"/>
                <w:color w:val="auto"/>
              </w:rPr>
            </w:pPr>
          </w:p>
        </w:tc>
        <w:tc>
          <w:tcPr>
            <w:tcW w:w="60" w:type="dxa"/>
            <w:vAlign w:val="bottom"/>
            <w:tcBorders>
              <w:bottom w:val="single" w:sz="8" w:color="EAEAEA"/>
            </w:tcBorders>
            <w:shd w:val="clear" w:color="auto" w:fill="EAEAEA"/>
          </w:tcPr>
          <w:p>
            <w:pPr>
              <w:spacing w:after="0"/>
              <w:rPr>
                <w:sz w:val="10"/>
                <w:szCs w:val="10"/>
                <w:color w:val="auto"/>
              </w:rPr>
            </w:pPr>
          </w:p>
        </w:tc>
        <w:tc>
          <w:tcPr>
            <w:tcW w:w="20" w:type="dxa"/>
            <w:vAlign w:val="bottom"/>
            <w:tcBorders>
              <w:bottom w:val="single" w:sz="8" w:color="EAEAEA"/>
            </w:tcBorders>
            <w:shd w:val="clear" w:color="auto" w:fill="EAEAEA"/>
          </w:tcPr>
          <w:p>
            <w:pPr>
              <w:spacing w:after="0"/>
              <w:rPr>
                <w:sz w:val="10"/>
                <w:szCs w:val="10"/>
                <w:color w:val="auto"/>
              </w:rPr>
            </w:pPr>
          </w:p>
        </w:tc>
        <w:tc>
          <w:tcPr>
            <w:tcW w:w="1660" w:type="dxa"/>
            <w:vAlign w:val="bottom"/>
            <w:tcBorders>
              <w:bottom w:val="single" w:sz="8" w:color="auto"/>
            </w:tcBorders>
            <w:gridSpan w:val="2"/>
            <w:shd w:val="clear" w:color="auto" w:fill="EAEAEA"/>
          </w:tcPr>
          <w:p>
            <w:pPr>
              <w:ind w:left="640"/>
              <w:spacing w:after="0"/>
              <w:rPr>
                <w:sz w:val="20"/>
                <w:szCs w:val="20"/>
                <w:color w:val="auto"/>
              </w:rPr>
            </w:pPr>
            <w:r>
              <w:rPr>
                <w:rFonts w:ascii="Arial" w:cs="Arial" w:eastAsia="Arial" w:hAnsi="Arial"/>
                <w:sz w:val="10"/>
                <w:szCs w:val="10"/>
                <w:b w:val="1"/>
                <w:bCs w:val="1"/>
                <w:color w:val="auto"/>
              </w:rPr>
              <w:t>Change</w:t>
            </w:r>
          </w:p>
        </w:tc>
        <w:tc>
          <w:tcPr>
            <w:tcW w:w="60" w:type="dxa"/>
            <w:vAlign w:val="bottom"/>
            <w:tcBorders>
              <w:bottom w:val="single" w:sz="8" w:color="EAEAEA"/>
            </w:tcBorders>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00" w:type="dxa"/>
            <w:vAlign w:val="bottom"/>
            <w:shd w:val="clear" w:color="auto" w:fill="EAEAEA"/>
          </w:tcPr>
          <w:p>
            <w:pPr>
              <w:spacing w:after="0"/>
              <w:rPr>
                <w:sz w:val="20"/>
                <w:szCs w:val="20"/>
                <w:color w:val="auto"/>
              </w:rPr>
            </w:pPr>
            <w:r>
              <w:rPr>
                <w:rFonts w:ascii="Arial" w:cs="Arial" w:eastAsia="Arial" w:hAnsi="Arial"/>
                <w:sz w:val="7"/>
                <w:szCs w:val="7"/>
                <w:color w:val="auto"/>
              </w:rPr>
              <w:t>(in millions, except per share data)</w:t>
            </w:r>
          </w:p>
        </w:tc>
        <w:tc>
          <w:tcPr>
            <w:tcW w:w="220" w:type="dxa"/>
            <w:vAlign w:val="bottom"/>
            <w:shd w:val="clear" w:color="auto" w:fill="EAEAEA"/>
          </w:tcPr>
          <w:p>
            <w:pPr>
              <w:spacing w:after="0"/>
              <w:rPr>
                <w:sz w:val="10"/>
                <w:szCs w:val="10"/>
                <w:color w:val="auto"/>
              </w:rPr>
            </w:pPr>
          </w:p>
        </w:tc>
        <w:tc>
          <w:tcPr>
            <w:tcW w:w="960" w:type="dxa"/>
            <w:vAlign w:val="bottom"/>
            <w:tcBorders>
              <w:bottom w:val="single" w:sz="8" w:color="auto"/>
            </w:tcBorders>
            <w:shd w:val="clear" w:color="auto" w:fill="EAEAEA"/>
          </w:tcPr>
          <w:p>
            <w:pPr>
              <w:jc w:val="center"/>
              <w:ind w:right="52"/>
              <w:spacing w:after="0"/>
              <w:rPr>
                <w:sz w:val="20"/>
                <w:szCs w:val="20"/>
                <w:color w:val="auto"/>
              </w:rPr>
            </w:pPr>
            <w:r>
              <w:rPr>
                <w:rFonts w:ascii="Arial" w:cs="Arial" w:eastAsia="Arial" w:hAnsi="Arial"/>
                <w:sz w:val="10"/>
                <w:szCs w:val="10"/>
                <w:b w:val="1"/>
                <w:bCs w:val="1"/>
                <w:color w:val="auto"/>
                <w:w w:val="89"/>
              </w:rPr>
              <w:t>1Q26</w:t>
            </w:r>
          </w:p>
        </w:tc>
        <w:tc>
          <w:tcPr>
            <w:tcW w:w="60" w:type="dxa"/>
            <w:vAlign w:val="bottom"/>
            <w:tcBorders>
              <w:bottom w:val="single" w:sz="8" w:color="auto"/>
            </w:tcBorders>
            <w:shd w:val="clear" w:color="auto" w:fill="EAEAEA"/>
          </w:tcPr>
          <w:p>
            <w:pPr>
              <w:spacing w:after="0"/>
              <w:rPr>
                <w:sz w:val="10"/>
                <w:szCs w:val="10"/>
                <w:color w:val="auto"/>
              </w:rPr>
            </w:pPr>
          </w:p>
        </w:tc>
        <w:tc>
          <w:tcPr>
            <w:tcW w:w="840" w:type="dxa"/>
            <w:vAlign w:val="bottom"/>
            <w:tcBorders>
              <w:bottom w:val="single" w:sz="8" w:color="auto"/>
            </w:tcBorders>
            <w:gridSpan w:val="2"/>
            <w:shd w:val="clear" w:color="auto" w:fill="EAEAEA"/>
          </w:tcPr>
          <w:p>
            <w:pPr>
              <w:jc w:val="center"/>
              <w:ind w:right="160"/>
              <w:spacing w:after="0"/>
              <w:rPr>
                <w:sz w:val="20"/>
                <w:szCs w:val="20"/>
                <w:color w:val="auto"/>
              </w:rPr>
            </w:pPr>
            <w:r>
              <w:rPr>
                <w:rFonts w:ascii="Arial" w:cs="Arial" w:eastAsia="Arial" w:hAnsi="Arial"/>
                <w:sz w:val="10"/>
                <w:szCs w:val="10"/>
                <w:b w:val="1"/>
                <w:bCs w:val="1"/>
                <w:color w:val="auto"/>
                <w:w w:val="97"/>
              </w:rPr>
              <w:t>4Q25</w:t>
            </w:r>
          </w:p>
        </w:tc>
        <w:tc>
          <w:tcPr>
            <w:tcW w:w="860" w:type="dxa"/>
            <w:vAlign w:val="bottom"/>
            <w:tcBorders>
              <w:bottom w:val="single" w:sz="8" w:color="auto"/>
            </w:tcBorders>
            <w:shd w:val="clear" w:color="auto" w:fill="EAEAEA"/>
          </w:tcPr>
          <w:p>
            <w:pPr>
              <w:jc w:val="right"/>
              <w:ind w:right="272"/>
              <w:spacing w:after="0"/>
              <w:rPr>
                <w:sz w:val="20"/>
                <w:szCs w:val="20"/>
                <w:color w:val="auto"/>
              </w:rPr>
            </w:pPr>
            <w:r>
              <w:rPr>
                <w:rFonts w:ascii="Arial" w:cs="Arial" w:eastAsia="Arial" w:hAnsi="Arial"/>
                <w:sz w:val="10"/>
                <w:szCs w:val="10"/>
                <w:b w:val="1"/>
                <w:bCs w:val="1"/>
                <w:color w:val="auto"/>
              </w:rPr>
              <w:t>1Q25</w:t>
            </w:r>
          </w:p>
        </w:tc>
        <w:tc>
          <w:tcPr>
            <w:tcW w:w="60" w:type="dxa"/>
            <w:vAlign w:val="bottom"/>
            <w:shd w:val="clear" w:color="auto" w:fill="EAEAEA"/>
          </w:tcPr>
          <w:p>
            <w:pPr>
              <w:spacing w:after="0"/>
              <w:rPr>
                <w:sz w:val="10"/>
                <w:szCs w:val="10"/>
                <w:color w:val="auto"/>
              </w:rPr>
            </w:pPr>
          </w:p>
        </w:tc>
        <w:tc>
          <w:tcPr>
            <w:tcW w:w="860" w:type="dxa"/>
            <w:vAlign w:val="bottom"/>
            <w:tcBorders>
              <w:bottom w:val="single" w:sz="8" w:color="auto"/>
            </w:tcBorders>
            <w:shd w:val="clear" w:color="auto" w:fill="EAEAEA"/>
          </w:tcPr>
          <w:p>
            <w:pPr>
              <w:jc w:val="center"/>
              <w:ind w:right="12"/>
              <w:spacing w:after="0"/>
              <w:rPr>
                <w:sz w:val="20"/>
                <w:szCs w:val="20"/>
                <w:color w:val="auto"/>
              </w:rPr>
            </w:pPr>
            <w:r>
              <w:rPr>
                <w:rFonts w:ascii="Arial" w:cs="Arial" w:eastAsia="Arial" w:hAnsi="Arial"/>
                <w:sz w:val="10"/>
                <w:szCs w:val="10"/>
                <w:b w:val="1"/>
                <w:bCs w:val="1"/>
                <w:color w:val="auto"/>
                <w:w w:val="97"/>
              </w:rPr>
              <w:t>1Q26 vs 4Q25</w:t>
            </w:r>
          </w:p>
        </w:tc>
        <w:tc>
          <w:tcPr>
            <w:tcW w:w="800" w:type="dxa"/>
            <w:vAlign w:val="bottom"/>
            <w:tcBorders>
              <w:bottom w:val="single" w:sz="8" w:color="auto"/>
            </w:tcBorders>
            <w:shd w:val="clear" w:color="auto" w:fill="EAEAEA"/>
          </w:tcPr>
          <w:p>
            <w:pPr>
              <w:jc w:val="center"/>
              <w:spacing w:after="0"/>
              <w:rPr>
                <w:sz w:val="20"/>
                <w:szCs w:val="20"/>
                <w:color w:val="auto"/>
              </w:rPr>
            </w:pPr>
            <w:r>
              <w:rPr>
                <w:rFonts w:ascii="Arial" w:cs="Arial" w:eastAsia="Arial" w:hAnsi="Arial"/>
                <w:sz w:val="10"/>
                <w:szCs w:val="10"/>
                <w:b w:val="1"/>
                <w:bCs w:val="1"/>
                <w:color w:val="auto"/>
                <w:w w:val="94"/>
              </w:rPr>
              <w:t>1Q26 vs 1Q25</w:t>
            </w:r>
          </w:p>
        </w:tc>
        <w:tc>
          <w:tcPr>
            <w:tcW w:w="80" w:type="dxa"/>
            <w:vAlign w:val="bottom"/>
            <w:shd w:val="clear" w:color="auto" w:fill="EAEAEA"/>
          </w:tcPr>
          <w:p>
            <w:pPr>
              <w:spacing w:after="0"/>
              <w:rPr>
                <w:sz w:val="10"/>
                <w:szCs w:val="10"/>
                <w:color w:val="auto"/>
              </w:rPr>
            </w:pPr>
          </w:p>
        </w:tc>
        <w:tc>
          <w:tcPr>
            <w:tcW w:w="160" w:type="dxa"/>
            <w:vAlign w:val="bottom"/>
            <w:tcBorders>
              <w:bottom w:val="single" w:sz="8" w:color="auto"/>
            </w:tcBorders>
            <w:gridSpan w:val="2"/>
            <w:shd w:val="clear" w:color="auto" w:fill="EAEAEA"/>
          </w:tcPr>
          <w:p>
            <w:pPr>
              <w:spacing w:after="0"/>
              <w:rPr>
                <w:sz w:val="10"/>
                <w:szCs w:val="10"/>
                <w:color w:val="auto"/>
              </w:rPr>
            </w:pPr>
          </w:p>
        </w:tc>
        <w:tc>
          <w:tcPr>
            <w:tcW w:w="440" w:type="dxa"/>
            <w:vAlign w:val="bottom"/>
            <w:tcBorders>
              <w:bottom w:val="single" w:sz="8" w:color="auto"/>
            </w:tcBorders>
            <w:shd w:val="clear" w:color="auto" w:fill="EAEAEA"/>
          </w:tcPr>
          <w:p>
            <w:pPr>
              <w:jc w:val="center"/>
              <w:ind w:left="32"/>
              <w:spacing w:after="0"/>
              <w:rPr>
                <w:sz w:val="20"/>
                <w:szCs w:val="20"/>
                <w:color w:val="auto"/>
              </w:rPr>
            </w:pPr>
            <w:r>
              <w:rPr>
                <w:rFonts w:ascii="Arial" w:cs="Arial" w:eastAsia="Arial" w:hAnsi="Arial"/>
                <w:sz w:val="10"/>
                <w:szCs w:val="10"/>
                <w:b w:val="1"/>
                <w:bCs w:val="1"/>
                <w:color w:val="auto"/>
                <w:w w:val="97"/>
              </w:rPr>
              <w:t>1Q26</w:t>
            </w:r>
          </w:p>
        </w:tc>
        <w:tc>
          <w:tcPr>
            <w:tcW w:w="400" w:type="dxa"/>
            <w:vAlign w:val="bottom"/>
            <w:tcBorders>
              <w:bottom w:val="single" w:sz="8" w:color="auto"/>
            </w:tcBorders>
            <w:shd w:val="clear" w:color="auto" w:fill="EAEAEA"/>
          </w:tcPr>
          <w:p>
            <w:pPr>
              <w:spacing w:after="0"/>
              <w:rPr>
                <w:sz w:val="10"/>
                <w:szCs w:val="10"/>
                <w:color w:val="auto"/>
              </w:rPr>
            </w:pPr>
          </w:p>
        </w:tc>
        <w:tc>
          <w:tcPr>
            <w:tcW w:w="700" w:type="dxa"/>
            <w:vAlign w:val="bottom"/>
            <w:tcBorders>
              <w:bottom w:val="single" w:sz="8" w:color="auto"/>
            </w:tcBorders>
            <w:shd w:val="clear" w:color="auto" w:fill="EAEAEA"/>
          </w:tcPr>
          <w:p>
            <w:pPr>
              <w:jc w:val="center"/>
              <w:spacing w:after="0"/>
              <w:rPr>
                <w:sz w:val="20"/>
                <w:szCs w:val="20"/>
                <w:color w:val="auto"/>
              </w:rPr>
            </w:pPr>
            <w:r>
              <w:rPr>
                <w:rFonts w:ascii="Arial" w:cs="Arial" w:eastAsia="Arial" w:hAnsi="Arial"/>
                <w:sz w:val="10"/>
                <w:szCs w:val="10"/>
                <w:b w:val="1"/>
                <w:bCs w:val="1"/>
                <w:color w:val="auto"/>
                <w:w w:val="89"/>
              </w:rPr>
              <w:t>4Q25</w:t>
            </w:r>
          </w:p>
        </w:tc>
        <w:tc>
          <w:tcPr>
            <w:tcW w:w="1000" w:type="dxa"/>
            <w:vAlign w:val="bottom"/>
            <w:tcBorders>
              <w:bottom w:val="single" w:sz="8" w:color="auto"/>
            </w:tcBorders>
            <w:gridSpan w:val="2"/>
            <w:shd w:val="clear" w:color="auto" w:fill="EAEAEA"/>
          </w:tcPr>
          <w:p>
            <w:pPr>
              <w:jc w:val="center"/>
              <w:ind w:left="112"/>
              <w:spacing w:after="0"/>
              <w:rPr>
                <w:sz w:val="20"/>
                <w:szCs w:val="20"/>
                <w:color w:val="auto"/>
              </w:rPr>
            </w:pPr>
            <w:r>
              <w:rPr>
                <w:rFonts w:ascii="Arial" w:cs="Arial" w:eastAsia="Arial" w:hAnsi="Arial"/>
                <w:sz w:val="10"/>
                <w:szCs w:val="10"/>
                <w:b w:val="1"/>
                <w:bCs w:val="1"/>
                <w:color w:val="auto"/>
                <w:w w:val="97"/>
              </w:rPr>
              <w:t>1Q25</w:t>
            </w:r>
          </w:p>
        </w:tc>
        <w:tc>
          <w:tcPr>
            <w:tcW w:w="60" w:type="dxa"/>
            <w:vAlign w:val="bottom"/>
            <w:shd w:val="clear" w:color="auto" w:fill="EAEAEA"/>
          </w:tcPr>
          <w:p>
            <w:pPr>
              <w:spacing w:after="0"/>
              <w:rPr>
                <w:sz w:val="10"/>
                <w:szCs w:val="10"/>
                <w:color w:val="auto"/>
              </w:rPr>
            </w:pPr>
          </w:p>
        </w:tc>
        <w:tc>
          <w:tcPr>
            <w:tcW w:w="20" w:type="dxa"/>
            <w:vAlign w:val="bottom"/>
            <w:shd w:val="clear" w:color="auto" w:fill="EAEAEA"/>
          </w:tcPr>
          <w:p>
            <w:pPr>
              <w:spacing w:after="0"/>
              <w:rPr>
                <w:sz w:val="10"/>
                <w:szCs w:val="10"/>
                <w:color w:val="auto"/>
              </w:rPr>
            </w:pPr>
          </w:p>
        </w:tc>
        <w:tc>
          <w:tcPr>
            <w:tcW w:w="820" w:type="dxa"/>
            <w:vAlign w:val="bottom"/>
            <w:tcBorders>
              <w:bottom w:val="single" w:sz="8" w:color="auto"/>
            </w:tcBorders>
            <w:shd w:val="clear" w:color="auto" w:fill="EAEAEA"/>
          </w:tcPr>
          <w:p>
            <w:pPr>
              <w:jc w:val="center"/>
              <w:spacing w:after="0"/>
              <w:rPr>
                <w:sz w:val="20"/>
                <w:szCs w:val="20"/>
                <w:color w:val="auto"/>
              </w:rPr>
            </w:pPr>
            <w:r>
              <w:rPr>
                <w:rFonts w:ascii="Arial" w:cs="Arial" w:eastAsia="Arial" w:hAnsi="Arial"/>
                <w:sz w:val="10"/>
                <w:szCs w:val="10"/>
                <w:b w:val="1"/>
                <w:bCs w:val="1"/>
                <w:color w:val="auto"/>
                <w:w w:val="94"/>
              </w:rPr>
              <w:t>1Q26 vs 4Q25</w:t>
            </w:r>
          </w:p>
        </w:tc>
        <w:tc>
          <w:tcPr>
            <w:tcW w:w="840" w:type="dxa"/>
            <w:vAlign w:val="bottom"/>
            <w:tcBorders>
              <w:bottom w:val="single" w:sz="8" w:color="auto"/>
            </w:tcBorders>
            <w:shd w:val="clear" w:color="auto" w:fill="EAEAEA"/>
          </w:tcPr>
          <w:p>
            <w:pPr>
              <w:jc w:val="center"/>
              <w:spacing w:after="0"/>
              <w:rPr>
                <w:sz w:val="20"/>
                <w:szCs w:val="20"/>
                <w:color w:val="auto"/>
              </w:rPr>
            </w:pPr>
            <w:r>
              <w:rPr>
                <w:rFonts w:ascii="Arial" w:cs="Arial" w:eastAsia="Arial" w:hAnsi="Arial"/>
                <w:sz w:val="10"/>
                <w:szCs w:val="10"/>
                <w:b w:val="1"/>
                <w:bCs w:val="1"/>
                <w:color w:val="auto"/>
                <w:w w:val="94"/>
              </w:rPr>
              <w:t>1Q26 vs 1Q25</w:t>
            </w:r>
          </w:p>
        </w:tc>
        <w:tc>
          <w:tcPr>
            <w:tcW w:w="60" w:type="dxa"/>
            <w:vAlign w:val="bottom"/>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00" w:type="dxa"/>
            <w:vAlign w:val="bottom"/>
          </w:tcPr>
          <w:p>
            <w:pPr>
              <w:spacing w:after="0" w:line="113" w:lineRule="exact"/>
              <w:rPr>
                <w:sz w:val="20"/>
                <w:szCs w:val="20"/>
                <w:color w:val="auto"/>
              </w:rPr>
            </w:pPr>
            <w:r>
              <w:rPr>
                <w:rFonts w:ascii="Arial" w:cs="Arial" w:eastAsia="Arial" w:hAnsi="Arial"/>
                <w:sz w:val="10"/>
                <w:szCs w:val="10"/>
                <w:b w:val="1"/>
                <w:bCs w:val="1"/>
                <w:color w:val="auto"/>
              </w:rPr>
              <w:t>Earnings Summary</w:t>
            </w:r>
          </w:p>
        </w:tc>
        <w:tc>
          <w:tcPr>
            <w:tcW w:w="1180" w:type="dxa"/>
            <w:vAlign w:val="bottom"/>
            <w:gridSpan w:val="2"/>
            <w:vMerge w:val="restart"/>
          </w:tcPr>
          <w:p>
            <w:pPr>
              <w:jc w:val="center"/>
              <w:ind w:left="93"/>
              <w:spacing w:after="0"/>
              <w:rPr>
                <w:sz w:val="20"/>
                <w:szCs w:val="20"/>
                <w:color w:val="auto"/>
              </w:rPr>
            </w:pPr>
            <w:r>
              <w:rPr>
                <w:rFonts w:ascii="Arial" w:cs="Arial" w:eastAsia="Arial" w:hAnsi="Arial"/>
                <w:sz w:val="10"/>
                <w:szCs w:val="10"/>
                <w:b w:val="1"/>
                <w:bCs w:val="1"/>
                <w:color w:val="auto"/>
                <w:w w:val="95"/>
              </w:rPr>
              <w:t>$12.0</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vMerge w:val="restart"/>
          </w:tcPr>
          <w:p>
            <w:pPr>
              <w:jc w:val="center"/>
              <w:ind w:left="32"/>
              <w:spacing w:after="0"/>
              <w:rPr>
                <w:sz w:val="20"/>
                <w:szCs w:val="20"/>
                <w:color w:val="auto"/>
              </w:rPr>
            </w:pPr>
            <w:r>
              <w:rPr>
                <w:rFonts w:ascii="Arial" w:cs="Arial" w:eastAsia="Arial" w:hAnsi="Arial"/>
                <w:sz w:val="10"/>
                <w:szCs w:val="10"/>
                <w:b w:val="1"/>
                <w:bCs w:val="1"/>
                <w:color w:val="auto"/>
                <w:w w:val="95"/>
              </w:rPr>
              <w:t>$12.0</w:t>
            </w: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20"/>
                <w:szCs w:val="20"/>
                <w:color w:val="auto"/>
              </w:rPr>
            </w:pPr>
            <w:r>
              <w:rPr>
                <w:rFonts w:ascii="Arial" w:cs="Arial" w:eastAsia="Arial" w:hAnsi="Arial"/>
                <w:sz w:val="10"/>
                <w:szCs w:val="10"/>
                <w:color w:val="auto"/>
              </w:rPr>
              <w:t>Net Income</w:t>
            </w:r>
          </w:p>
        </w:tc>
        <w:tc>
          <w:tcPr>
            <w:tcW w:w="1180" w:type="dxa"/>
            <w:vAlign w:val="bottom"/>
            <w:gridSpan w:val="2"/>
            <w:vMerge w:val="continue"/>
          </w:tcPr>
          <w:p>
            <w:pPr>
              <w:spacing w:after="0"/>
              <w:rPr>
                <w:sz w:val="11"/>
                <w:szCs w:val="11"/>
                <w:color w:val="auto"/>
              </w:rPr>
            </w:pPr>
          </w:p>
        </w:tc>
        <w:tc>
          <w:tcPr>
            <w:tcW w:w="740" w:type="dxa"/>
            <w:vAlign w:val="bottom"/>
            <w:gridSpan w:val="2"/>
          </w:tcPr>
          <w:p>
            <w:pPr>
              <w:jc w:val="center"/>
              <w:ind w:left="12"/>
              <w:spacing w:after="0"/>
              <w:rPr>
                <w:sz w:val="20"/>
                <w:szCs w:val="20"/>
                <w:color w:val="auto"/>
              </w:rPr>
            </w:pPr>
            <w:r>
              <w:rPr>
                <w:rFonts w:ascii="Arial" w:cs="Arial" w:eastAsia="Arial" w:hAnsi="Arial"/>
                <w:sz w:val="10"/>
                <w:szCs w:val="10"/>
                <w:color w:val="auto"/>
                <w:w w:val="95"/>
              </w:rPr>
              <w:t>$15.0</w:t>
            </w:r>
          </w:p>
        </w:tc>
        <w:tc>
          <w:tcPr>
            <w:tcW w:w="160" w:type="dxa"/>
            <w:vAlign w:val="bottom"/>
          </w:tcPr>
          <w:p>
            <w:pPr>
              <w:spacing w:after="0"/>
              <w:rPr>
                <w:sz w:val="11"/>
                <w:szCs w:val="11"/>
                <w:color w:val="auto"/>
              </w:rPr>
            </w:pPr>
          </w:p>
        </w:tc>
        <w:tc>
          <w:tcPr>
            <w:tcW w:w="860" w:type="dxa"/>
            <w:vAlign w:val="bottom"/>
          </w:tcPr>
          <w:p>
            <w:pPr>
              <w:jc w:val="right"/>
              <w:ind w:right="272"/>
              <w:spacing w:after="0"/>
              <w:rPr>
                <w:sz w:val="20"/>
                <w:szCs w:val="20"/>
                <w:color w:val="auto"/>
              </w:rPr>
            </w:pPr>
            <w:r>
              <w:rPr>
                <w:rFonts w:ascii="Arial" w:cs="Arial" w:eastAsia="Arial" w:hAnsi="Arial"/>
                <w:sz w:val="10"/>
                <w:szCs w:val="10"/>
                <w:color w:val="auto"/>
              </w:rPr>
              <w:t>$13.9</w:t>
            </w:r>
          </w:p>
        </w:tc>
        <w:tc>
          <w:tcPr>
            <w:tcW w:w="60" w:type="dxa"/>
            <w:vAlign w:val="bottom"/>
          </w:tcPr>
          <w:p>
            <w:pPr>
              <w:spacing w:after="0"/>
              <w:rPr>
                <w:sz w:val="11"/>
                <w:szCs w:val="11"/>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color w:val="auto"/>
              </w:rPr>
              <w:t>(20.0)%</w:t>
            </w:r>
          </w:p>
        </w:tc>
        <w:tc>
          <w:tcPr>
            <w:tcW w:w="800" w:type="dxa"/>
            <w:vAlign w:val="bottom"/>
          </w:tcPr>
          <w:p>
            <w:pPr>
              <w:jc w:val="center"/>
              <w:spacing w:after="0"/>
              <w:rPr>
                <w:sz w:val="20"/>
                <w:szCs w:val="20"/>
                <w:color w:val="auto"/>
              </w:rPr>
            </w:pPr>
            <w:r>
              <w:rPr>
                <w:rFonts w:ascii="Arial" w:cs="Arial" w:eastAsia="Arial" w:hAnsi="Arial"/>
                <w:sz w:val="10"/>
                <w:szCs w:val="10"/>
                <w:color w:val="auto"/>
                <w:w w:val="96"/>
              </w:rPr>
              <w:t>(13.7)%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100" w:type="dxa"/>
            <w:vAlign w:val="bottom"/>
            <w:gridSpan w:val="2"/>
          </w:tcPr>
          <w:p>
            <w:pPr>
              <w:jc w:val="center"/>
              <w:ind w:left="332"/>
              <w:spacing w:after="0"/>
              <w:rPr>
                <w:sz w:val="20"/>
                <w:szCs w:val="20"/>
                <w:color w:val="auto"/>
              </w:rPr>
            </w:pPr>
            <w:r>
              <w:rPr>
                <w:rFonts w:ascii="Arial" w:cs="Arial" w:eastAsia="Arial" w:hAnsi="Arial"/>
                <w:sz w:val="10"/>
                <w:szCs w:val="10"/>
                <w:color w:val="auto"/>
                <w:w w:val="95"/>
              </w:rPr>
              <w:t>$15.0</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$14.9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Arial" w:cs="Arial" w:eastAsia="Arial" w:hAnsi="Arial"/>
                <w:sz w:val="10"/>
                <w:szCs w:val="10"/>
                <w:color w:val="auto"/>
                <w:w w:val="96"/>
              </w:rPr>
              <w:t>(20.0)%</w:t>
            </w:r>
          </w:p>
        </w:tc>
        <w:tc>
          <w:tcPr>
            <w:tcW w:w="840" w:type="dxa"/>
            <w:vAlign w:val="bottom"/>
          </w:tcPr>
          <w:p>
            <w:pPr>
              <w:jc w:val="center"/>
              <w:spacing w:after="0"/>
              <w:rPr>
                <w:sz w:val="20"/>
                <w:szCs w:val="20"/>
                <w:color w:val="auto"/>
              </w:rPr>
            </w:pPr>
            <w:r>
              <w:rPr>
                <w:rFonts w:ascii="Arial" w:cs="Arial" w:eastAsia="Arial" w:hAnsi="Arial"/>
                <w:sz w:val="10"/>
                <w:szCs w:val="10"/>
                <w:color w:val="auto"/>
                <w:w w:val="96"/>
              </w:rPr>
              <w:t>(19.5)%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20"/>
                <w:szCs w:val="20"/>
                <w:color w:val="auto"/>
              </w:rPr>
            </w:pPr>
            <w:r>
              <w:rPr>
                <w:rFonts w:ascii="Arial" w:cs="Arial" w:eastAsia="Arial" w:hAnsi="Arial"/>
                <w:sz w:val="10"/>
                <w:szCs w:val="10"/>
                <w:color w:val="auto"/>
              </w:rPr>
              <w:t>Earnings per share - diluted</w:t>
            </w:r>
          </w:p>
        </w:tc>
        <w:tc>
          <w:tcPr>
            <w:tcW w:w="1180" w:type="dxa"/>
            <w:vAlign w:val="bottom"/>
            <w:gridSpan w:val="2"/>
          </w:tcPr>
          <w:p>
            <w:pPr>
              <w:jc w:val="center"/>
              <w:ind w:left="93"/>
              <w:spacing w:after="0"/>
              <w:rPr>
                <w:sz w:val="20"/>
                <w:szCs w:val="20"/>
                <w:color w:val="auto"/>
              </w:rPr>
            </w:pPr>
            <w:r>
              <w:rPr>
                <w:rFonts w:ascii="Arial" w:cs="Arial" w:eastAsia="Arial" w:hAnsi="Arial"/>
                <w:sz w:val="10"/>
                <w:szCs w:val="10"/>
                <w:b w:val="1"/>
                <w:bCs w:val="1"/>
                <w:color w:val="auto"/>
                <w:w w:val="95"/>
              </w:rPr>
              <w:t>$0.73</w:t>
            </w:r>
          </w:p>
        </w:tc>
        <w:tc>
          <w:tcPr>
            <w:tcW w:w="740" w:type="dxa"/>
            <w:vAlign w:val="bottom"/>
            <w:gridSpan w:val="2"/>
          </w:tcPr>
          <w:p>
            <w:pPr>
              <w:jc w:val="center"/>
              <w:ind w:left="12"/>
              <w:spacing w:after="0"/>
              <w:rPr>
                <w:sz w:val="20"/>
                <w:szCs w:val="20"/>
                <w:color w:val="auto"/>
              </w:rPr>
            </w:pPr>
            <w:r>
              <w:rPr>
                <w:rFonts w:ascii="Arial" w:cs="Arial" w:eastAsia="Arial" w:hAnsi="Arial"/>
                <w:sz w:val="10"/>
                <w:szCs w:val="10"/>
                <w:color w:val="auto"/>
                <w:w w:val="95"/>
              </w:rPr>
              <w:t>$0.91</w:t>
            </w:r>
          </w:p>
        </w:tc>
        <w:tc>
          <w:tcPr>
            <w:tcW w:w="160" w:type="dxa"/>
            <w:vAlign w:val="bottom"/>
          </w:tcPr>
          <w:p>
            <w:pPr>
              <w:spacing w:after="0"/>
              <w:rPr>
                <w:sz w:val="11"/>
                <w:szCs w:val="11"/>
                <w:color w:val="auto"/>
              </w:rPr>
            </w:pPr>
          </w:p>
        </w:tc>
        <w:tc>
          <w:tcPr>
            <w:tcW w:w="860" w:type="dxa"/>
            <w:vAlign w:val="bottom"/>
          </w:tcPr>
          <w:p>
            <w:pPr>
              <w:jc w:val="right"/>
              <w:ind w:right="272"/>
              <w:spacing w:after="0"/>
              <w:rPr>
                <w:sz w:val="20"/>
                <w:szCs w:val="20"/>
                <w:color w:val="auto"/>
              </w:rPr>
            </w:pPr>
            <w:r>
              <w:rPr>
                <w:rFonts w:ascii="Arial" w:cs="Arial" w:eastAsia="Arial" w:hAnsi="Arial"/>
                <w:sz w:val="10"/>
                <w:szCs w:val="10"/>
                <w:color w:val="auto"/>
              </w:rPr>
              <w:t>$0.82</w:t>
            </w:r>
          </w:p>
        </w:tc>
        <w:tc>
          <w:tcPr>
            <w:tcW w:w="60" w:type="dxa"/>
            <w:vAlign w:val="bottom"/>
          </w:tcPr>
          <w:p>
            <w:pPr>
              <w:spacing w:after="0"/>
              <w:rPr>
                <w:sz w:val="11"/>
                <w:szCs w:val="11"/>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color w:val="auto"/>
              </w:rPr>
              <w:t>(19.8)%</w:t>
            </w:r>
          </w:p>
        </w:tc>
        <w:tc>
          <w:tcPr>
            <w:tcW w:w="800" w:type="dxa"/>
            <w:vAlign w:val="bottom"/>
          </w:tcPr>
          <w:p>
            <w:pPr>
              <w:jc w:val="center"/>
              <w:spacing w:after="0"/>
              <w:rPr>
                <w:sz w:val="20"/>
                <w:szCs w:val="20"/>
                <w:color w:val="auto"/>
              </w:rPr>
            </w:pPr>
            <w:r>
              <w:rPr>
                <w:rFonts w:ascii="Arial" w:cs="Arial" w:eastAsia="Arial" w:hAnsi="Arial"/>
                <w:sz w:val="10"/>
                <w:szCs w:val="10"/>
                <w:color w:val="auto"/>
                <w:w w:val="96"/>
              </w:rPr>
              <w:t>(11.2)%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left="32"/>
              <w:spacing w:after="0"/>
              <w:rPr>
                <w:sz w:val="20"/>
                <w:szCs w:val="20"/>
                <w:color w:val="auto"/>
              </w:rPr>
            </w:pPr>
            <w:r>
              <w:rPr>
                <w:rFonts w:ascii="Arial" w:cs="Arial" w:eastAsia="Arial" w:hAnsi="Arial"/>
                <w:sz w:val="10"/>
                <w:szCs w:val="10"/>
                <w:b w:val="1"/>
                <w:bCs w:val="1"/>
                <w:color w:val="auto"/>
                <w:w w:val="95"/>
              </w:rPr>
              <w:t>$0.73</w:t>
            </w:r>
          </w:p>
        </w:tc>
        <w:tc>
          <w:tcPr>
            <w:tcW w:w="1100" w:type="dxa"/>
            <w:vAlign w:val="bottom"/>
            <w:gridSpan w:val="2"/>
          </w:tcPr>
          <w:p>
            <w:pPr>
              <w:jc w:val="center"/>
              <w:ind w:left="332"/>
              <w:spacing w:after="0"/>
              <w:rPr>
                <w:sz w:val="20"/>
                <w:szCs w:val="20"/>
                <w:color w:val="auto"/>
              </w:rPr>
            </w:pPr>
            <w:r>
              <w:rPr>
                <w:rFonts w:ascii="Arial" w:cs="Arial" w:eastAsia="Arial" w:hAnsi="Arial"/>
                <w:sz w:val="10"/>
                <w:szCs w:val="10"/>
                <w:color w:val="auto"/>
                <w:w w:val="95"/>
              </w:rPr>
              <w:t>$0.91</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5"/>
              </w:rPr>
              <w:t>$0.88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Arial" w:cs="Arial" w:eastAsia="Arial" w:hAnsi="Arial"/>
                <w:sz w:val="10"/>
                <w:szCs w:val="10"/>
                <w:color w:val="auto"/>
                <w:w w:val="96"/>
              </w:rPr>
              <w:t>(19.8)%</w:t>
            </w:r>
          </w:p>
        </w:tc>
        <w:tc>
          <w:tcPr>
            <w:tcW w:w="840" w:type="dxa"/>
            <w:vAlign w:val="bottom"/>
          </w:tcPr>
          <w:p>
            <w:pPr>
              <w:jc w:val="center"/>
              <w:spacing w:after="0"/>
              <w:rPr>
                <w:sz w:val="20"/>
                <w:szCs w:val="20"/>
                <w:color w:val="auto"/>
              </w:rPr>
            </w:pPr>
            <w:r>
              <w:rPr>
                <w:rFonts w:ascii="Arial" w:cs="Arial" w:eastAsia="Arial" w:hAnsi="Arial"/>
                <w:sz w:val="10"/>
                <w:szCs w:val="10"/>
                <w:color w:val="auto"/>
                <w:w w:val="96"/>
              </w:rPr>
              <w:t>(16.9)%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20"/>
                <w:szCs w:val="20"/>
                <w:color w:val="auto"/>
              </w:rPr>
            </w:pPr>
            <w:r>
              <w:rPr>
                <w:rFonts w:ascii="Arial" w:cs="Arial" w:eastAsia="Arial" w:hAnsi="Arial"/>
                <w:sz w:val="10"/>
                <w:szCs w:val="10"/>
                <w:color w:val="auto"/>
              </w:rPr>
              <w:t>ROA</w:t>
            </w:r>
          </w:p>
        </w:tc>
        <w:tc>
          <w:tcPr>
            <w:tcW w:w="1180" w:type="dxa"/>
            <w:vAlign w:val="bottom"/>
            <w:gridSpan w:val="2"/>
          </w:tcPr>
          <w:p>
            <w:pPr>
              <w:jc w:val="center"/>
              <w:ind w:left="73"/>
              <w:spacing w:after="0"/>
              <w:rPr>
                <w:sz w:val="20"/>
                <w:szCs w:val="20"/>
                <w:color w:val="auto"/>
              </w:rPr>
            </w:pPr>
            <w:r>
              <w:rPr>
                <w:rFonts w:ascii="Arial" w:cs="Arial" w:eastAsia="Arial" w:hAnsi="Arial"/>
                <w:sz w:val="10"/>
                <w:szCs w:val="10"/>
                <w:b w:val="1"/>
                <w:bCs w:val="1"/>
                <w:color w:val="auto"/>
                <w:w w:val="91"/>
              </w:rPr>
              <w:t>1.33%</w:t>
            </w:r>
          </w:p>
        </w:tc>
        <w:tc>
          <w:tcPr>
            <w:tcW w:w="740" w:type="dxa"/>
            <w:vAlign w:val="bottom"/>
            <w:gridSpan w:val="2"/>
          </w:tcPr>
          <w:p>
            <w:pPr>
              <w:jc w:val="center"/>
              <w:ind w:left="12"/>
              <w:spacing w:after="0"/>
              <w:rPr>
                <w:sz w:val="20"/>
                <w:szCs w:val="20"/>
                <w:color w:val="auto"/>
              </w:rPr>
            </w:pPr>
            <w:r>
              <w:rPr>
                <w:rFonts w:ascii="Arial" w:cs="Arial" w:eastAsia="Arial" w:hAnsi="Arial"/>
                <w:sz w:val="10"/>
                <w:szCs w:val="10"/>
                <w:color w:val="auto"/>
                <w:w w:val="98"/>
              </w:rPr>
              <w:t>1.71%</w:t>
            </w:r>
          </w:p>
        </w:tc>
        <w:tc>
          <w:tcPr>
            <w:tcW w:w="160" w:type="dxa"/>
            <w:vAlign w:val="bottom"/>
          </w:tcPr>
          <w:p>
            <w:pPr>
              <w:spacing w:after="0"/>
              <w:rPr>
                <w:sz w:val="11"/>
                <w:szCs w:val="11"/>
                <w:color w:val="auto"/>
              </w:rPr>
            </w:pPr>
          </w:p>
        </w:tc>
        <w:tc>
          <w:tcPr>
            <w:tcW w:w="860" w:type="dxa"/>
            <w:vAlign w:val="bottom"/>
          </w:tcPr>
          <w:p>
            <w:pPr>
              <w:ind w:left="300"/>
              <w:spacing w:after="0"/>
              <w:rPr>
                <w:sz w:val="20"/>
                <w:szCs w:val="20"/>
                <w:color w:val="auto"/>
              </w:rPr>
            </w:pPr>
            <w:r>
              <w:rPr>
                <w:rFonts w:ascii="Arial" w:cs="Arial" w:eastAsia="Arial" w:hAnsi="Arial"/>
                <w:sz w:val="10"/>
                <w:szCs w:val="10"/>
                <w:color w:val="auto"/>
              </w:rPr>
              <w:t>1.75%</w:t>
            </w:r>
          </w:p>
        </w:tc>
        <w:tc>
          <w:tcPr>
            <w:tcW w:w="60" w:type="dxa"/>
            <w:vAlign w:val="bottom"/>
          </w:tcPr>
          <w:p>
            <w:pPr>
              <w:spacing w:after="0"/>
              <w:rPr>
                <w:sz w:val="11"/>
                <w:szCs w:val="11"/>
                <w:color w:val="auto"/>
              </w:rPr>
            </w:pPr>
          </w:p>
        </w:tc>
        <w:tc>
          <w:tcPr>
            <w:tcW w:w="860" w:type="dxa"/>
            <w:vAlign w:val="bottom"/>
          </w:tcPr>
          <w:p>
            <w:pPr>
              <w:jc w:val="center"/>
              <w:ind w:right="12"/>
              <w:spacing w:after="0"/>
              <w:rPr>
                <w:sz w:val="20"/>
                <w:szCs w:val="20"/>
                <w:color w:val="auto"/>
              </w:rPr>
            </w:pPr>
            <w:r>
              <w:rPr>
                <w:rFonts w:ascii="Arial" w:cs="Arial" w:eastAsia="Arial" w:hAnsi="Arial"/>
                <w:sz w:val="10"/>
                <w:szCs w:val="10"/>
                <w:color w:val="auto"/>
                <w:w w:val="98"/>
              </w:rPr>
              <w:t>(38) bps</w:t>
            </w:r>
          </w:p>
        </w:tc>
        <w:tc>
          <w:tcPr>
            <w:tcW w:w="1040" w:type="dxa"/>
            <w:vAlign w:val="bottom"/>
            <w:gridSpan w:val="4"/>
          </w:tcPr>
          <w:p>
            <w:pPr>
              <w:jc w:val="center"/>
              <w:ind w:right="220"/>
              <w:spacing w:after="0"/>
              <w:rPr>
                <w:sz w:val="20"/>
                <w:szCs w:val="20"/>
                <w:color w:val="auto"/>
              </w:rPr>
            </w:pPr>
            <w:r>
              <w:rPr>
                <w:rFonts w:ascii="Arial" w:cs="Arial" w:eastAsia="Arial" w:hAnsi="Arial"/>
                <w:sz w:val="10"/>
                <w:szCs w:val="10"/>
                <w:color w:val="auto"/>
                <w:w w:val="92"/>
              </w:rPr>
              <w:t>(42) bps</w:t>
            </w:r>
          </w:p>
        </w:tc>
        <w:tc>
          <w:tcPr>
            <w:tcW w:w="440" w:type="dxa"/>
            <w:vAlign w:val="bottom"/>
          </w:tcPr>
          <w:p>
            <w:pPr>
              <w:jc w:val="center"/>
              <w:ind w:left="32"/>
              <w:spacing w:after="0"/>
              <w:rPr>
                <w:sz w:val="20"/>
                <w:szCs w:val="20"/>
                <w:color w:val="auto"/>
              </w:rPr>
            </w:pPr>
            <w:r>
              <w:rPr>
                <w:rFonts w:ascii="Arial" w:cs="Arial" w:eastAsia="Arial" w:hAnsi="Arial"/>
                <w:sz w:val="10"/>
                <w:szCs w:val="10"/>
                <w:b w:val="1"/>
                <w:bCs w:val="1"/>
                <w:color w:val="auto"/>
                <w:w w:val="98"/>
              </w:rPr>
              <w:t>1.33%</w:t>
            </w:r>
          </w:p>
        </w:tc>
        <w:tc>
          <w:tcPr>
            <w:tcW w:w="1100" w:type="dxa"/>
            <w:vAlign w:val="bottom"/>
            <w:gridSpan w:val="2"/>
          </w:tcPr>
          <w:p>
            <w:pPr>
              <w:jc w:val="center"/>
              <w:ind w:left="352"/>
              <w:spacing w:after="0"/>
              <w:rPr>
                <w:sz w:val="20"/>
                <w:szCs w:val="20"/>
                <w:color w:val="auto"/>
              </w:rPr>
            </w:pPr>
            <w:r>
              <w:rPr>
                <w:rFonts w:ascii="Arial" w:cs="Arial" w:eastAsia="Arial" w:hAnsi="Arial"/>
                <w:sz w:val="10"/>
                <w:szCs w:val="10"/>
                <w:color w:val="auto"/>
                <w:w w:val="91"/>
              </w:rPr>
              <w:t>1.71%</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8"/>
              </w:rPr>
              <w:t>1.87%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92"/>
              </w:rPr>
              <w:t>(38) bps</w:t>
            </w:r>
          </w:p>
        </w:tc>
        <w:tc>
          <w:tcPr>
            <w:tcW w:w="900" w:type="dxa"/>
            <w:vAlign w:val="bottom"/>
            <w:gridSpan w:val="2"/>
          </w:tcPr>
          <w:p>
            <w:pPr>
              <w:jc w:val="center"/>
              <w:ind w:right="20"/>
              <w:spacing w:after="0"/>
              <w:rPr>
                <w:sz w:val="20"/>
                <w:szCs w:val="20"/>
                <w:color w:val="auto"/>
              </w:rPr>
            </w:pPr>
            <w:r>
              <w:rPr>
                <w:rFonts w:ascii="Arial" w:cs="Arial" w:eastAsia="Arial" w:hAnsi="Arial"/>
                <w:sz w:val="10"/>
                <w:szCs w:val="10"/>
                <w:color w:val="auto"/>
                <w:w w:val="98"/>
              </w:rPr>
              <w:t>(54) bps</w:t>
            </w:r>
          </w:p>
        </w:tc>
        <w:tc>
          <w:tcPr>
            <w:tcW w:w="0" w:type="dxa"/>
            <w:vAlign w:val="bottom"/>
          </w:tcPr>
          <w:p>
            <w:pPr>
              <w:spacing w:after="0"/>
              <w:rPr>
                <w:sz w:val="1"/>
                <w:szCs w:val="1"/>
                <w:color w:val="auto"/>
              </w:rPr>
            </w:pPr>
          </w:p>
        </w:tc>
      </w:tr>
      <w:tr>
        <w:trPr>
          <w:trHeight w:val="139"/>
        </w:trPr>
        <w:tc>
          <w:tcPr>
            <w:tcW w:w="1900" w:type="dxa"/>
            <w:vAlign w:val="bottom"/>
          </w:tcPr>
          <w:p>
            <w:pPr>
              <w:spacing w:after="0"/>
              <w:rPr>
                <w:sz w:val="20"/>
                <w:szCs w:val="20"/>
                <w:color w:val="auto"/>
              </w:rPr>
            </w:pPr>
            <w:r>
              <w:rPr>
                <w:rFonts w:ascii="Arial" w:cs="Arial" w:eastAsia="Arial" w:hAnsi="Arial"/>
                <w:sz w:val="10"/>
                <w:szCs w:val="10"/>
                <w:color w:val="auto"/>
              </w:rPr>
              <w:t>ROTCE</w:t>
            </w:r>
            <w:r>
              <w:rPr>
                <w:rFonts w:ascii="Arial" w:cs="Arial" w:eastAsia="Arial" w:hAnsi="Arial"/>
                <w:sz w:val="12"/>
                <w:szCs w:val="12"/>
                <w:color w:val="auto"/>
                <w:vertAlign w:val="superscript"/>
              </w:rPr>
              <w:t>(3)</w:t>
            </w:r>
          </w:p>
        </w:tc>
        <w:tc>
          <w:tcPr>
            <w:tcW w:w="1180" w:type="dxa"/>
            <w:vAlign w:val="bottom"/>
            <w:gridSpan w:val="2"/>
          </w:tcPr>
          <w:p>
            <w:pPr>
              <w:jc w:val="center"/>
              <w:ind w:left="73"/>
              <w:spacing w:after="0"/>
              <w:rPr>
                <w:sz w:val="20"/>
                <w:szCs w:val="20"/>
                <w:color w:val="auto"/>
              </w:rPr>
            </w:pPr>
            <w:r>
              <w:rPr>
                <w:rFonts w:ascii="Arial" w:cs="Arial" w:eastAsia="Arial" w:hAnsi="Arial"/>
                <w:sz w:val="10"/>
                <w:szCs w:val="10"/>
                <w:b w:val="1"/>
                <w:bCs w:val="1"/>
                <w:color w:val="auto"/>
              </w:rPr>
              <w:t>13.58%</w:t>
            </w:r>
          </w:p>
        </w:tc>
        <w:tc>
          <w:tcPr>
            <w:tcW w:w="740" w:type="dxa"/>
            <w:vAlign w:val="bottom"/>
            <w:gridSpan w:val="2"/>
          </w:tcPr>
          <w:p>
            <w:pPr>
              <w:jc w:val="center"/>
              <w:ind w:left="12"/>
              <w:spacing w:after="0"/>
              <w:rPr>
                <w:sz w:val="20"/>
                <w:szCs w:val="20"/>
                <w:color w:val="auto"/>
              </w:rPr>
            </w:pPr>
            <w:r>
              <w:rPr>
                <w:rFonts w:ascii="Arial" w:cs="Arial" w:eastAsia="Arial" w:hAnsi="Arial"/>
                <w:sz w:val="10"/>
                <w:szCs w:val="10"/>
                <w:color w:val="auto"/>
                <w:w w:val="94"/>
              </w:rPr>
              <w:t>17.23%</w:t>
            </w:r>
          </w:p>
        </w:tc>
        <w:tc>
          <w:tcPr>
            <w:tcW w:w="160" w:type="dxa"/>
            <w:vAlign w:val="bottom"/>
          </w:tcPr>
          <w:p>
            <w:pPr>
              <w:spacing w:after="0"/>
              <w:rPr>
                <w:sz w:val="12"/>
                <w:szCs w:val="12"/>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color w:val="auto"/>
              </w:rPr>
              <w:t>17.57%</w:t>
            </w:r>
          </w:p>
        </w:tc>
        <w:tc>
          <w:tcPr>
            <w:tcW w:w="60" w:type="dxa"/>
            <w:vAlign w:val="bottom"/>
          </w:tcPr>
          <w:p>
            <w:pPr>
              <w:spacing w:after="0"/>
              <w:rPr>
                <w:sz w:val="12"/>
                <w:szCs w:val="12"/>
                <w:color w:val="auto"/>
              </w:rPr>
            </w:pPr>
          </w:p>
        </w:tc>
        <w:tc>
          <w:tcPr>
            <w:tcW w:w="860" w:type="dxa"/>
            <w:vAlign w:val="bottom"/>
          </w:tcPr>
          <w:p>
            <w:pPr>
              <w:jc w:val="center"/>
              <w:ind w:right="12"/>
              <w:spacing w:after="0"/>
              <w:rPr>
                <w:sz w:val="20"/>
                <w:szCs w:val="20"/>
                <w:color w:val="auto"/>
              </w:rPr>
            </w:pPr>
            <w:r>
              <w:rPr>
                <w:rFonts w:ascii="Arial" w:cs="Arial" w:eastAsia="Arial" w:hAnsi="Arial"/>
                <w:sz w:val="10"/>
                <w:szCs w:val="10"/>
                <w:color w:val="auto"/>
                <w:w w:val="94"/>
              </w:rPr>
              <w:t>(365) bps</w:t>
            </w:r>
          </w:p>
        </w:tc>
        <w:tc>
          <w:tcPr>
            <w:tcW w:w="1040" w:type="dxa"/>
            <w:vAlign w:val="bottom"/>
            <w:gridSpan w:val="4"/>
          </w:tcPr>
          <w:p>
            <w:pPr>
              <w:jc w:val="center"/>
              <w:ind w:right="240"/>
              <w:spacing w:after="0"/>
              <w:rPr>
                <w:sz w:val="20"/>
                <w:szCs w:val="20"/>
                <w:color w:val="auto"/>
              </w:rPr>
            </w:pPr>
            <w:r>
              <w:rPr>
                <w:rFonts w:ascii="Arial" w:cs="Arial" w:eastAsia="Arial" w:hAnsi="Arial"/>
                <w:sz w:val="10"/>
                <w:szCs w:val="10"/>
                <w:color w:val="auto"/>
                <w:w w:val="94"/>
              </w:rPr>
              <w:t>(399) bps</w:t>
            </w:r>
          </w:p>
        </w:tc>
        <w:tc>
          <w:tcPr>
            <w:tcW w:w="440" w:type="dxa"/>
            <w:vAlign w:val="bottom"/>
          </w:tcPr>
          <w:p>
            <w:pPr>
              <w:jc w:val="center"/>
              <w:ind w:left="32"/>
              <w:spacing w:after="0"/>
              <w:rPr>
                <w:sz w:val="20"/>
                <w:szCs w:val="20"/>
                <w:color w:val="auto"/>
              </w:rPr>
            </w:pPr>
            <w:r>
              <w:rPr>
                <w:rFonts w:ascii="Arial" w:cs="Arial" w:eastAsia="Arial" w:hAnsi="Arial"/>
                <w:sz w:val="10"/>
                <w:szCs w:val="10"/>
                <w:b w:val="1"/>
                <w:bCs w:val="1"/>
                <w:color w:val="auto"/>
                <w:w w:val="94"/>
              </w:rPr>
              <w:t>13.58%</w:t>
            </w:r>
          </w:p>
        </w:tc>
        <w:tc>
          <w:tcPr>
            <w:tcW w:w="1100" w:type="dxa"/>
            <w:vAlign w:val="bottom"/>
            <w:gridSpan w:val="2"/>
          </w:tcPr>
          <w:p>
            <w:pPr>
              <w:jc w:val="center"/>
              <w:ind w:left="352"/>
              <w:spacing w:after="0"/>
              <w:rPr>
                <w:sz w:val="20"/>
                <w:szCs w:val="20"/>
                <w:color w:val="auto"/>
              </w:rPr>
            </w:pPr>
            <w:r>
              <w:rPr>
                <w:rFonts w:ascii="Arial" w:cs="Arial" w:eastAsia="Arial" w:hAnsi="Arial"/>
                <w:sz w:val="10"/>
                <w:szCs w:val="10"/>
                <w:color w:val="auto"/>
              </w:rPr>
              <w:t>17.23%</w:t>
            </w:r>
          </w:p>
        </w:tc>
        <w:tc>
          <w:tcPr>
            <w:tcW w:w="980" w:type="dxa"/>
            <w:vAlign w:val="bottom"/>
          </w:tcPr>
          <w:p>
            <w:pPr>
              <w:jc w:val="center"/>
              <w:ind w:left="132"/>
              <w:spacing w:after="0"/>
              <w:rPr>
                <w:sz w:val="20"/>
                <w:szCs w:val="20"/>
                <w:color w:val="auto"/>
              </w:rPr>
            </w:pPr>
            <w:r>
              <w:rPr>
                <w:rFonts w:ascii="Arial" w:cs="Arial" w:eastAsia="Arial" w:hAnsi="Arial"/>
                <w:sz w:val="10"/>
                <w:szCs w:val="10"/>
                <w:color w:val="auto"/>
                <w:w w:val="94"/>
              </w:rPr>
              <w:t>18.77%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0"/>
                <w:szCs w:val="10"/>
                <w:color w:val="auto"/>
                <w:w w:val="99"/>
              </w:rPr>
              <w:t>(365) bps</w:t>
            </w:r>
          </w:p>
        </w:tc>
        <w:tc>
          <w:tcPr>
            <w:tcW w:w="900" w:type="dxa"/>
            <w:vAlign w:val="bottom"/>
            <w:gridSpan w:val="2"/>
          </w:tcPr>
          <w:p>
            <w:pPr>
              <w:jc w:val="center"/>
              <w:ind w:right="20"/>
              <w:spacing w:after="0"/>
              <w:rPr>
                <w:sz w:val="20"/>
                <w:szCs w:val="20"/>
                <w:color w:val="auto"/>
              </w:rPr>
            </w:pPr>
            <w:r>
              <w:rPr>
                <w:rFonts w:ascii="Arial" w:cs="Arial" w:eastAsia="Arial" w:hAnsi="Arial"/>
                <w:sz w:val="10"/>
                <w:szCs w:val="10"/>
                <w:color w:val="auto"/>
                <w:w w:val="94"/>
              </w:rPr>
              <w:t>(519) bps</w:t>
            </w:r>
          </w:p>
        </w:tc>
        <w:tc>
          <w:tcPr>
            <w:tcW w:w="0" w:type="dxa"/>
            <w:vAlign w:val="bottom"/>
          </w:tcPr>
          <w:p>
            <w:pPr>
              <w:spacing w:after="0"/>
              <w:rPr>
                <w:sz w:val="1"/>
                <w:szCs w:val="1"/>
                <w:color w:val="auto"/>
              </w:rPr>
            </w:pPr>
          </w:p>
        </w:tc>
      </w:tr>
      <w:tr>
        <w:trPr>
          <w:trHeight w:val="106"/>
        </w:trPr>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94"/>
              </w:rPr>
              <w:t>Including Card</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92"/>
              </w:rPr>
              <w:t>Excluding Card</w:t>
            </w: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NIM</w:t>
            </w:r>
          </w:p>
        </w:tc>
        <w:tc>
          <w:tcPr>
            <w:tcW w:w="1180" w:type="dxa"/>
            <w:vAlign w:val="bottom"/>
            <w:tcBorders>
              <w:bottom w:val="single" w:sz="8" w:color="auto"/>
            </w:tcBorders>
            <w:gridSpan w:val="2"/>
          </w:tcPr>
          <w:p>
            <w:pPr>
              <w:jc w:val="center"/>
              <w:ind w:left="73"/>
              <w:spacing w:after="0"/>
              <w:rPr>
                <w:sz w:val="20"/>
                <w:szCs w:val="20"/>
                <w:color w:val="auto"/>
              </w:rPr>
            </w:pPr>
            <w:r>
              <w:rPr>
                <w:rFonts w:ascii="Arial" w:cs="Arial" w:eastAsia="Arial" w:hAnsi="Arial"/>
                <w:sz w:val="10"/>
                <w:szCs w:val="10"/>
                <w:b w:val="1"/>
                <w:bCs w:val="1"/>
                <w:color w:val="auto"/>
                <w:w w:val="91"/>
              </w:rPr>
              <w:t>5.71%</w:t>
            </w:r>
          </w:p>
        </w:tc>
        <w:tc>
          <w:tcPr>
            <w:tcW w:w="74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0"/>
                <w:szCs w:val="10"/>
                <w:color w:val="auto"/>
                <w:w w:val="98"/>
              </w:rPr>
              <w:t>5.94%</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0"/>
                <w:szCs w:val="10"/>
                <w:color w:val="auto"/>
              </w:rPr>
              <w:t>6.05%</w:t>
            </w: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0"/>
                <w:szCs w:val="10"/>
                <w:color w:val="auto"/>
                <w:w w:val="98"/>
              </w:rPr>
              <w:t>(23) bps</w:t>
            </w:r>
          </w:p>
        </w:tc>
        <w:tc>
          <w:tcPr>
            <w:tcW w:w="10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color w:val="auto"/>
                <w:w w:val="92"/>
              </w:rPr>
              <w:t>(34) bps</w:t>
            </w:r>
          </w:p>
        </w:tc>
        <w:tc>
          <w:tcPr>
            <w:tcW w:w="440" w:type="dxa"/>
            <w:vAlign w:val="bottom"/>
            <w:tcBorders>
              <w:bottom w:val="single" w:sz="8" w:color="auto"/>
            </w:tcBorders>
          </w:tcPr>
          <w:p>
            <w:pPr>
              <w:jc w:val="center"/>
              <w:ind w:left="32"/>
              <w:spacing w:after="0"/>
              <w:rPr>
                <w:sz w:val="20"/>
                <w:szCs w:val="20"/>
                <w:color w:val="auto"/>
              </w:rPr>
            </w:pPr>
            <w:r>
              <w:rPr>
                <w:rFonts w:ascii="Arial" w:cs="Arial" w:eastAsia="Arial" w:hAnsi="Arial"/>
                <w:sz w:val="10"/>
                <w:szCs w:val="10"/>
                <w:b w:val="1"/>
                <w:bCs w:val="1"/>
                <w:color w:val="auto"/>
                <w:w w:val="98"/>
              </w:rPr>
              <w:t>4.15%</w:t>
            </w:r>
          </w:p>
        </w:tc>
        <w:tc>
          <w:tcPr>
            <w:tcW w:w="110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0"/>
                <w:szCs w:val="10"/>
                <w:color w:val="auto"/>
                <w:w w:val="91"/>
              </w:rPr>
              <w:t>4.19%</w:t>
            </w:r>
          </w:p>
        </w:tc>
        <w:tc>
          <w:tcPr>
            <w:tcW w:w="98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98"/>
              </w:rPr>
              <w:t>4.36%</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(4) bps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(21) bps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8" w:hanging="68"/>
        <w:spacing w:after="0"/>
        <w:tabs>
          <w:tab w:leader="none" w:pos="68" w:val="left"/>
        </w:tabs>
        <w:numPr>
          <w:ilvl w:val="0"/>
          <w:numId w:val="2"/>
        </w:numPr>
        <w:rPr>
          <w:rFonts w:ascii="Arial" w:cs="Arial" w:eastAsia="Arial" w:hAnsi="Arial"/>
          <w:sz w:val="5"/>
          <w:szCs w:val="5"/>
          <w:color w:val="auto"/>
        </w:rPr>
      </w:pPr>
      <w:r>
        <w:rPr>
          <w:rFonts w:ascii="Arial" w:cs="Arial" w:eastAsia="Arial" w:hAnsi="Arial"/>
          <w:sz w:val="7"/>
          <w:szCs w:val="7"/>
          <w:color w:val="auto"/>
        </w:rPr>
        <w:t>Gross loans represent portfolio loans receivable, net of deferred fees and costs.</w:t>
      </w:r>
    </w:p>
    <w:p>
      <w:pPr>
        <w:spacing w:after="0" w:line="12" w:lineRule="exact"/>
        <w:rPr>
          <w:rFonts w:ascii="Arial" w:cs="Arial" w:eastAsia="Arial" w:hAnsi="Arial"/>
          <w:sz w:val="5"/>
          <w:szCs w:val="5"/>
          <w:color w:val="auto"/>
        </w:rPr>
      </w:pPr>
    </w:p>
    <w:p>
      <w:pPr>
        <w:ind w:left="68" w:hanging="68"/>
        <w:spacing w:after="0" w:line="218" w:lineRule="auto"/>
        <w:tabs>
          <w:tab w:leader="none" w:pos="68" w:val="left"/>
        </w:tabs>
        <w:numPr>
          <w:ilvl w:val="0"/>
          <w:numId w:val="2"/>
        </w:numPr>
        <w:rPr>
          <w:rFonts w:ascii="Arial" w:cs="Arial" w:eastAsia="Arial" w:hAnsi="Arial"/>
          <w:sz w:val="8"/>
          <w:szCs w:val="8"/>
          <w:color w:val="auto"/>
          <w:vertAlign w:val="superscript"/>
        </w:rPr>
      </w:pPr>
      <w:r>
        <w:rPr>
          <w:rFonts w:ascii="Arial" w:cs="Arial" w:eastAsia="Arial" w:hAnsi="Arial"/>
          <w:sz w:val="6"/>
          <w:szCs w:val="6"/>
          <w:color w:val="auto"/>
        </w:rPr>
        <w:t>Customer deposits represents total deposits excluding brokered deposits.</w:t>
      </w:r>
    </w:p>
    <w:p>
      <w:pPr>
        <w:ind w:left="8" w:hanging="8"/>
        <w:spacing w:after="0" w:line="207" w:lineRule="auto"/>
        <w:tabs>
          <w:tab w:leader="none" w:pos="78" w:val="left"/>
        </w:tabs>
        <w:numPr>
          <w:ilvl w:val="0"/>
          <w:numId w:val="2"/>
        </w:numPr>
        <w:rPr>
          <w:rFonts w:ascii="Arial" w:cs="Arial" w:eastAsia="Arial" w:hAnsi="Arial"/>
          <w:sz w:val="9"/>
          <w:szCs w:val="9"/>
          <w:color w:val="auto"/>
          <w:vertAlign w:val="superscript"/>
        </w:rPr>
      </w:pPr>
      <w:r>
        <w:rPr>
          <w:rFonts w:ascii="Arial" w:cs="Arial" w:eastAsia="Arial" w:hAnsi="Arial"/>
          <w:sz w:val="7"/>
          <w:szCs w:val="7"/>
          <w:color w:val="auto"/>
        </w:rPr>
        <w:t>As used in this press release, Core net income, Core earnings per share - diluted, Core ROA, Core ROTCE, Tangible Book Value per share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spacing w:after="0" w:line="384" w:lineRule="exact"/>
        <w:rPr>
          <w:sz w:val="20"/>
          <w:szCs w:val="20"/>
          <w:color w:val="auto"/>
        </w:rPr>
      </w:pPr>
    </w:p>
    <w:p>
      <w:pPr>
        <w:jc w:val="both"/>
        <w:ind w:left="8"/>
        <w:spacing w:after="0" w:line="226" w:lineRule="auto"/>
        <w:rPr>
          <w:sz w:val="20"/>
          <w:szCs w:val="20"/>
          <w:color w:val="auto"/>
        </w:rPr>
      </w:pPr>
      <w:r>
        <w:rPr>
          <w:rFonts w:ascii="Arial" w:cs="Arial" w:eastAsia="Arial" w:hAnsi="Arial"/>
          <w:sz w:val="11"/>
          <w:szCs w:val="11"/>
          <w:color w:val="auto"/>
        </w:rPr>
        <w:t>“We are pleased that the sustained organic growth at the Commercial Bank permits us to accommodate an increase in noninterest expenses, while, at the same time, providing our stockholders with reasonable returns and a steadily growing TBV,” said Steven J. Schwartz, Chairman of the Company. “We expect these expenditures to enable technology advancements in customer experience and back office efficiency, and to support the introduction by OpenSky</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of new products. We remain alert to the possibility that the markets in which we operate remain vulnerable to disruption from geopolitical and other developments, but have not yet seen any macroeconomic signs of credit deterioration in our markets.”</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First Quarter 2026 Highlights</w:t>
      </w:r>
    </w:p>
    <w:p>
      <w:pPr>
        <w:spacing w:after="0" w:line="72"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Delivered strong balance sheet growth, with gross loans increasing 9.2% (annualized) from 4Q 2025, driven by continued momentum in the Commercial Bank</w:t>
      </w:r>
    </w:p>
    <w:p>
      <w:pPr>
        <w:ind w:left="208" w:hanging="208"/>
        <w:spacing w:after="0" w:line="230" w:lineRule="auto"/>
        <w:tabs>
          <w:tab w:leader="none" w:pos="201" w:val="left"/>
        </w:tabs>
        <w:numPr>
          <w:ilvl w:val="0"/>
          <w:numId w:val="3"/>
        </w:numPr>
        <w:rPr>
          <w:rFonts w:ascii="Arial" w:cs="Arial" w:eastAsia="Arial" w:hAnsi="Arial"/>
          <w:sz w:val="11"/>
          <w:szCs w:val="11"/>
          <w:color w:val="auto"/>
        </w:rPr>
      </w:pPr>
      <w:r>
        <w:rPr>
          <w:rFonts w:ascii="Arial" w:cs="Arial" w:eastAsia="Arial" w:hAnsi="Arial"/>
          <w:sz w:val="11"/>
          <w:szCs w:val="11"/>
          <w:color w:val="auto"/>
        </w:rPr>
        <w:t>Generated robust deposit growth, with total deposits increasing 26.1% (annualized) from 4Q 2025. Excluding $107.8 million of deposit growth tied to a single customer relationship, total deposits grew 11.9% annualized while reducing brokered deposits by 19.5%</w:t>
      </w:r>
    </w:p>
    <w:p>
      <w:pPr>
        <w:ind w:left="208" w:hanging="208"/>
        <w:spacing w:after="0"/>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Achieved strong customer deposit growth, which increased 40.7% (annualized) from 4Q 2025, or 27.0% annualized excluding the relationship noted above</w:t>
      </w:r>
    </w:p>
    <w:p>
      <w:pPr>
        <w:ind w:left="208" w:hanging="208"/>
        <w:spacing w:after="0" w:line="187" w:lineRule="auto"/>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Continued tangible book value compounding, with tangible book value</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per share increasing 10.5% annualized from 4Q 2025</w:t>
      </w:r>
    </w:p>
    <w:p>
      <w:pPr>
        <w:ind w:left="208" w:hanging="208"/>
        <w:spacing w:after="0"/>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Expanded fee revenue, which increased 29.6% (annualized), primarily driven by SBA loan sales generated by a new team and increased USDA volume; fee revenue represented 21.3% of total revenue</w:t>
      </w:r>
    </w:p>
    <w:p>
      <w:pPr>
        <w:ind w:left="208" w:hanging="208"/>
        <w:spacing w:after="0" w:line="222" w:lineRule="auto"/>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Advanced strategic investments in unsecured card, card partnerships, data infrastructure, and back-office support to enhance scalability and long-term growth</w:t>
      </w:r>
    </w:p>
    <w:p>
      <w:pPr>
        <w:ind w:left="208" w:hanging="208"/>
        <w:spacing w:after="0"/>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Returned capital to shareholders, repurchasing $3.5 million of common stock under the Company’s share repurchase program</w:t>
      </w:r>
    </w:p>
    <w:p>
      <w:pPr>
        <w:ind w:left="208" w:hanging="208"/>
        <w:spacing w:after="0"/>
        <w:tabs>
          <w:tab w:leader="none" w:pos="208" w:val="left"/>
        </w:tabs>
        <w:numPr>
          <w:ilvl w:val="0"/>
          <w:numId w:val="3"/>
        </w:numPr>
        <w:rPr>
          <w:rFonts w:ascii="Arial" w:cs="Arial" w:eastAsia="Arial" w:hAnsi="Arial"/>
          <w:sz w:val="11"/>
          <w:szCs w:val="11"/>
          <w:b w:val="1"/>
          <w:bCs w:val="1"/>
          <w:color w:val="auto"/>
        </w:rPr>
      </w:pPr>
      <w:r>
        <w:rPr>
          <w:rFonts w:ascii="Arial" w:cs="Arial" w:eastAsia="Arial" w:hAnsi="Arial"/>
          <w:sz w:val="11"/>
          <w:szCs w:val="11"/>
          <w:color w:val="auto"/>
        </w:rPr>
        <w:t>The Company also declared a cash dividend on its common stock of $0.12 per share. The dividend is payable on May 27, 2026 to shareholders of record on May 11, 2026.</w:t>
      </w:r>
    </w:p>
    <w:p>
      <w:pPr>
        <w:spacing w:after="0" w:line="152" w:lineRule="exact"/>
        <w:rPr>
          <w:sz w:val="20"/>
          <w:szCs w:val="20"/>
          <w:color w:val="auto"/>
        </w:rPr>
      </w:pPr>
    </w:p>
    <w:p>
      <w:pPr>
        <w:ind w:left="8"/>
        <w:spacing w:after="0" w:line="307" w:lineRule="auto"/>
        <w:rPr>
          <w:sz w:val="20"/>
          <w:szCs w:val="20"/>
          <w:color w:val="auto"/>
        </w:rPr>
      </w:pPr>
      <w:r>
        <w:rPr>
          <w:rFonts w:ascii="Arial" w:cs="Arial" w:eastAsia="Arial" w:hAnsi="Arial"/>
          <w:sz w:val="11"/>
          <w:szCs w:val="11"/>
          <w:color w:val="auto"/>
        </w:rPr>
        <w:t>“We continue to demonstrate our ability to grow across the Company, highlighted by the increase in customer deposits, which positions us for continued balance sheet growth." said Ed Barry, CEO of the Company. "Our investment program is underway across the Commercial and OpenSky</w:t>
      </w:r>
      <w:r>
        <w:rPr>
          <w:rFonts w:ascii="Arial" w:cs="Arial" w:eastAsia="Arial" w:hAnsi="Arial"/>
          <w:sz w:val="14"/>
          <w:szCs w:val="14"/>
          <w:color w:val="auto"/>
          <w:vertAlign w:val="superscript"/>
        </w:rPr>
        <w:t>™</w:t>
      </w:r>
      <w:r>
        <w:rPr>
          <w:rFonts w:ascii="Arial" w:cs="Arial" w:eastAsia="Arial" w:hAnsi="Arial"/>
          <w:sz w:val="11"/>
          <w:szCs w:val="11"/>
          <w:color w:val="auto"/>
        </w:rPr>
        <w:t xml:space="preserve"> division, including technology and data initiatives that will improve our competitive position."</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367" w:right="299" w:bottom="1440" w:gutter="0" w:footer="0" w:header="0"/>
        </w:sectPr>
      </w:pPr>
    </w:p>
    <w:bookmarkStart w:id="4" w:name="page5"/>
    <w:bookmarkEnd w:id="4"/>
    <w:p>
      <w:pPr>
        <w:ind w:left="8"/>
        <w:spacing w:after="0"/>
        <w:rPr>
          <w:sz w:val="20"/>
          <w:szCs w:val="20"/>
          <w:color w:val="auto"/>
        </w:rPr>
      </w:pPr>
      <w:r>
        <w:rPr>
          <w:rFonts w:ascii="Arial" w:cs="Arial" w:eastAsia="Arial" w:hAnsi="Arial"/>
          <w:sz w:val="12"/>
          <w:szCs w:val="12"/>
          <w:b w:val="1"/>
          <w:bCs w:val="1"/>
          <w:u w:val="single" w:color="auto"/>
          <w:color w:val="auto"/>
        </w:rPr>
        <w:t>Consolidated financial performance</w:t>
      </w:r>
    </w:p>
    <w:p>
      <w:pPr>
        <w:spacing w:after="0" w:line="114"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Net income of $12.0 million decreased $3.0 million compared to 4Q 2025, and earnings per share - diluted of $0.73 decreased $0.18 per share from 4Q 2025. Net income decreased $1.9 million, or 13.7%, from $13.9 million, or $0.82 per diluted share, for 1Q 2025. 1Q 2026 Core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$12.0 million, or $0.73 per diluted share, decreased $3.0 million, or 20.1%, from 4Q 2025 Core net income of $15.0 million, or $0.91 per diluted share. 1Q 2026 Core net income decreased $2.9 million, or 19.3%, from 1Q 2025 core net income of $14.9 million, or $0.88 per diluted share.</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Quarterly net interest income:</w:t>
      </w:r>
    </w:p>
    <w:p>
      <w:pPr>
        <w:spacing w:after="0" w:line="114" w:lineRule="exact"/>
        <w:rPr>
          <w:sz w:val="20"/>
          <w:szCs w:val="20"/>
          <w:color w:val="auto"/>
        </w:rPr>
      </w:pPr>
    </w:p>
    <w:p>
      <w:pPr>
        <w:ind w:left="428" w:hanging="212"/>
        <w:spacing w:after="0"/>
        <w:tabs>
          <w:tab w:leader="none" w:pos="428"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Net interest income of $49.4 million decreased $0.9 million, or 1.8% (not annualized), compared to 4Q 2025, and increased $3.4 million, or 7.3%, year-over-year.</w:t>
      </w:r>
    </w:p>
    <w:p>
      <w:pPr>
        <w:spacing w:after="0" w:line="114" w:lineRule="exact"/>
        <w:rPr>
          <w:rFonts w:ascii="Arial" w:cs="Arial" w:eastAsia="Arial" w:hAnsi="Arial"/>
          <w:sz w:val="12"/>
          <w:szCs w:val="12"/>
          <w:b w:val="1"/>
          <w:bCs w:val="1"/>
          <w:color w:val="auto"/>
        </w:rPr>
      </w:pPr>
    </w:p>
    <w:p>
      <w:pPr>
        <w:jc w:val="both"/>
        <w:ind w:left="648" w:hanging="216"/>
        <w:spacing w:after="0" w:line="268" w:lineRule="auto"/>
        <w:tabs>
          <w:tab w:leader="none" w:pos="645" w:val="left"/>
        </w:tabs>
        <w:numPr>
          <w:ilvl w:val="1"/>
          <w:numId w:val="4"/>
        </w:numPr>
        <w:rPr>
          <w:rFonts w:ascii="Arial" w:cs="Arial" w:eastAsia="Arial" w:hAnsi="Arial"/>
          <w:sz w:val="12"/>
          <w:szCs w:val="12"/>
          <w:color w:val="auto"/>
        </w:rPr>
      </w:pPr>
      <w:r>
        <w:rPr>
          <w:rFonts w:ascii="Arial" w:cs="Arial" w:eastAsia="Arial" w:hAnsi="Arial"/>
          <w:sz w:val="12"/>
          <w:szCs w:val="12"/>
          <w:color w:val="auto"/>
        </w:rPr>
        <w:t>Interest income of $68.0 million decreased $0.7 million, or 1.0% (not annualized), compared to 4Q 2025, and increased $5.2 million, or 8.3%, year-over-year. The decrease from 4Q 2025 was primarily driven by a $1.3 million decrease from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due to changes in the rate environment, partially offset by a $0.7 million increase from the Commercial Bank driven by loan growth. The increase year-over-year was primarily driven by $4.6 million from the Commercial Bank due to strong balance sheet growth, and $0.6 million from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due to the growth from the unsecured loan product.</w:t>
      </w:r>
    </w:p>
    <w:p>
      <w:pPr>
        <w:spacing w:after="0" w:line="18" w:lineRule="exact"/>
        <w:rPr>
          <w:rFonts w:ascii="Arial" w:cs="Arial" w:eastAsia="Arial" w:hAnsi="Arial"/>
          <w:sz w:val="12"/>
          <w:szCs w:val="12"/>
          <w:color w:val="auto"/>
        </w:rPr>
      </w:pPr>
    </w:p>
    <w:p>
      <w:pPr>
        <w:ind w:left="868" w:hanging="220"/>
        <w:spacing w:after="0"/>
        <w:tabs>
          <w:tab w:leader="none" w:pos="868" w:val="left"/>
        </w:tabs>
        <w:numPr>
          <w:ilvl w:val="2"/>
          <w:numId w:val="4"/>
        </w:numPr>
        <w:rPr>
          <w:rFonts w:ascii="Arial" w:cs="Arial" w:eastAsia="Arial" w:hAnsi="Arial"/>
          <w:sz w:val="12"/>
          <w:szCs w:val="12"/>
          <w:color w:val="auto"/>
        </w:rPr>
      </w:pPr>
      <w:r>
        <w:rPr>
          <w:rFonts w:ascii="Arial" w:cs="Arial" w:eastAsia="Arial" w:hAnsi="Arial"/>
          <w:sz w:val="12"/>
          <w:szCs w:val="12"/>
          <w:color w:val="auto"/>
        </w:rPr>
        <w:t>Interest income included $0.3 million from net purchase accounting accretion ("PAA") in 1Q 2026, compared to $0.1 million in 4Q 2025 and $0.3 million in net PAA in 1Q 2025.</w:t>
      </w:r>
    </w:p>
    <w:p>
      <w:pPr>
        <w:spacing w:after="0" w:line="114" w:lineRule="exact"/>
        <w:rPr>
          <w:rFonts w:ascii="Arial" w:cs="Arial" w:eastAsia="Arial" w:hAnsi="Arial"/>
          <w:sz w:val="12"/>
          <w:szCs w:val="12"/>
          <w:color w:val="auto"/>
        </w:rPr>
      </w:pPr>
    </w:p>
    <w:p>
      <w:pPr>
        <w:jc w:val="both"/>
        <w:ind w:left="648" w:hanging="216"/>
        <w:spacing w:after="0" w:line="291" w:lineRule="auto"/>
        <w:tabs>
          <w:tab w:leader="none" w:pos="645" w:val="left"/>
        </w:tabs>
        <w:numPr>
          <w:ilvl w:val="1"/>
          <w:numId w:val="4"/>
        </w:numPr>
        <w:rPr>
          <w:rFonts w:ascii="Arial" w:cs="Arial" w:eastAsia="Arial" w:hAnsi="Arial"/>
          <w:sz w:val="12"/>
          <w:szCs w:val="12"/>
          <w:color w:val="auto"/>
        </w:rPr>
      </w:pPr>
      <w:r>
        <w:rPr>
          <w:rFonts w:ascii="Arial" w:cs="Arial" w:eastAsia="Arial" w:hAnsi="Arial"/>
          <w:sz w:val="12"/>
          <w:szCs w:val="12"/>
          <w:color w:val="auto"/>
        </w:rPr>
        <w:t>Interest expense of $18.6 million increased $0.2 million, or 1.2% (not annualized), compared to 4Q 2025, and increased $1.9 million, or 11.1%, year-over-year. The increase of $0.2 million compared to 4Q 2025, was primarily driven by a shift in deposit mix. The increase of $1.9 million year-over-year was driven by $0.9 million of lower PAA, $0.7 million from a shift in deposit mix and $0.3 of million higher borrowing costs.</w:t>
      </w:r>
    </w:p>
    <w:p>
      <w:pPr>
        <w:spacing w:after="0" w:line="65" w:lineRule="exact"/>
        <w:rPr>
          <w:rFonts w:ascii="Arial" w:cs="Arial" w:eastAsia="Arial" w:hAnsi="Arial"/>
          <w:sz w:val="12"/>
          <w:szCs w:val="12"/>
          <w:color w:val="auto"/>
        </w:rPr>
      </w:pPr>
    </w:p>
    <w:p>
      <w:pPr>
        <w:ind w:left="868" w:hanging="220"/>
        <w:spacing w:after="0"/>
        <w:tabs>
          <w:tab w:leader="none" w:pos="868" w:val="left"/>
        </w:tabs>
        <w:numPr>
          <w:ilvl w:val="2"/>
          <w:numId w:val="4"/>
        </w:numPr>
        <w:rPr>
          <w:rFonts w:ascii="Arial" w:cs="Arial" w:eastAsia="Arial" w:hAnsi="Arial"/>
          <w:sz w:val="12"/>
          <w:szCs w:val="12"/>
          <w:color w:val="auto"/>
        </w:rPr>
      </w:pPr>
      <w:r>
        <w:rPr>
          <w:rFonts w:ascii="Arial" w:cs="Arial" w:eastAsia="Arial" w:hAnsi="Arial"/>
          <w:sz w:val="12"/>
          <w:szCs w:val="12"/>
          <w:color w:val="auto"/>
        </w:rPr>
        <w:t>Interest expense included a $0.1 million benefit from net PAA in 1Q 2026, compared to a $0.1 million benefit in 4Q 2025. There was a $1.1 million benefit from net PAA in 1Q 2025.</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Quarterly provision:</w:t>
      </w:r>
    </w:p>
    <w:p>
      <w:pPr>
        <w:spacing w:after="0" w:line="114" w:lineRule="exact"/>
        <w:rPr>
          <w:sz w:val="20"/>
          <w:szCs w:val="20"/>
          <w:color w:val="auto"/>
        </w:rPr>
      </w:pPr>
    </w:p>
    <w:p>
      <w:pPr>
        <w:ind w:left="428" w:right="20" w:hanging="212"/>
        <w:spacing w:after="0" w:line="301" w:lineRule="auto"/>
        <w:tabs>
          <w:tab w:leader="none" w:pos="425"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1Q 2026 provision for credit losses was $3.0 million, a decrease of $1.0 million from 4Q 2025. Net charge-offs totaled $3.0 million, or 0.40% of portfolio loans (annualized), up from $2.4 million or 0.32% of portfolio loans (annualized), in 4Q 2025.</w:t>
      </w:r>
    </w:p>
    <w:p>
      <w:pPr>
        <w:spacing w:after="0" w:line="57" w:lineRule="exact"/>
        <w:rPr>
          <w:rFonts w:ascii="Arial" w:cs="Arial" w:eastAsia="Arial" w:hAnsi="Arial"/>
          <w:sz w:val="12"/>
          <w:szCs w:val="12"/>
          <w:color w:val="auto"/>
        </w:rPr>
      </w:pPr>
    </w:p>
    <w:p>
      <w:pPr>
        <w:jc w:val="both"/>
        <w:ind w:left="868" w:hanging="220"/>
        <w:spacing w:after="0" w:line="248" w:lineRule="auto"/>
        <w:tabs>
          <w:tab w:leader="none" w:pos="874" w:val="left"/>
        </w:tabs>
        <w:numPr>
          <w:ilvl w:val="1"/>
          <w:numId w:val="5"/>
        </w:numPr>
        <w:rPr>
          <w:rFonts w:ascii="Arial" w:cs="Arial" w:eastAsia="Arial" w:hAnsi="Arial"/>
          <w:sz w:val="12"/>
          <w:szCs w:val="12"/>
          <w:color w:val="auto"/>
        </w:rPr>
      </w:pPr>
      <w:r>
        <w:rPr>
          <w:rFonts w:ascii="Arial" w:cs="Arial" w:eastAsia="Arial" w:hAnsi="Arial"/>
          <w:sz w:val="12"/>
          <w:szCs w:val="12"/>
          <w:color w:val="auto"/>
        </w:rPr>
        <w:t>Net charge-offs in the quarter include $3.1 million from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loans and a net recovery of $0.1 million from Commercial Bank loans. Net charge-offs for the Commercial Bank decreased $2.0 million from 4Q 2025 primarily driven by $1.9 million of legacy Commercial Bank loans that were charged off during 4Q 2025.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net charge-offs amounted to $0.5 million in 4Q 2025 compared to a net charge-offs of $3.1 million in 1Q 2026. During 4Q 2025, a $2.0 million credit to the allowance for credit losses was made to reflect recoveries resulting from the sale of $69.5 million of charged-off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credit card receivables.</w:t>
      </w:r>
    </w:p>
    <w:p>
      <w:pPr>
        <w:spacing w:after="0" w:line="43" w:lineRule="exact"/>
        <w:rPr>
          <w:rFonts w:ascii="Arial" w:cs="Arial" w:eastAsia="Arial" w:hAnsi="Arial"/>
          <w:sz w:val="12"/>
          <w:szCs w:val="12"/>
          <w:color w:val="auto"/>
        </w:rPr>
      </w:pPr>
    </w:p>
    <w:p>
      <w:pPr>
        <w:ind w:left="868" w:hanging="220"/>
        <w:spacing w:after="0"/>
        <w:tabs>
          <w:tab w:leader="none" w:pos="868" w:val="left"/>
        </w:tabs>
        <w:numPr>
          <w:ilvl w:val="1"/>
          <w:numId w:val="5"/>
        </w:numPr>
        <w:rPr>
          <w:rFonts w:ascii="Arial" w:cs="Arial" w:eastAsia="Arial" w:hAnsi="Arial"/>
          <w:sz w:val="12"/>
          <w:szCs w:val="12"/>
          <w:color w:val="auto"/>
        </w:rPr>
      </w:pPr>
      <w:r>
        <w:rPr>
          <w:rFonts w:ascii="Arial" w:cs="Arial" w:eastAsia="Arial" w:hAnsi="Arial"/>
          <w:sz w:val="12"/>
          <w:szCs w:val="12"/>
          <w:color w:val="auto"/>
        </w:rPr>
        <w:t>At March 31, 2026, the ACL Coverage Ratio was 1.81%, down 4 bps from December 31, 2025, and flat year-over-year.</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Quarterly fee revenue:</w:t>
      </w:r>
    </w:p>
    <w:p>
      <w:pPr>
        <w:spacing w:after="0" w:line="114" w:lineRule="exact"/>
        <w:rPr>
          <w:sz w:val="20"/>
          <w:szCs w:val="20"/>
          <w:color w:val="auto"/>
        </w:rPr>
      </w:pPr>
    </w:p>
    <w:p>
      <w:pPr>
        <w:jc w:val="both"/>
        <w:ind w:left="428" w:hanging="212"/>
        <w:spacing w:after="0" w:line="295" w:lineRule="auto"/>
        <w:tabs>
          <w:tab w:leader="none" w:pos="425" w:val="left"/>
        </w:tabs>
        <w:numPr>
          <w:ilvl w:val="0"/>
          <w:numId w:val="6"/>
        </w:numPr>
        <w:rPr>
          <w:rFonts w:ascii="Arial" w:cs="Arial" w:eastAsia="Arial" w:hAnsi="Arial"/>
          <w:sz w:val="12"/>
          <w:szCs w:val="12"/>
          <w:color w:val="auto"/>
        </w:rPr>
      </w:pPr>
      <w:r>
        <w:rPr>
          <w:rFonts w:ascii="Arial" w:cs="Arial" w:eastAsia="Arial" w:hAnsi="Arial"/>
          <w:sz w:val="12"/>
          <w:szCs w:val="12"/>
          <w:color w:val="auto"/>
        </w:rPr>
        <w:t>Fee Revenue of $13.4 million increased $0.9 million, compared to 4Q 2025 and increased $0.8 million year-over-year. The increase of $0.9 million during 1Q 2026 was primarily from a $0.9 million increase in government lending revenue with other offsetting activity. Year-over-year fee revenue increased $0.8 million primarily due to a $0.8 million increase from government loan servicing and packaging revenue (Windsor</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1143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42" w:lineRule="exact"/>
        <w:rPr>
          <w:sz w:val="20"/>
          <w:szCs w:val="20"/>
          <w:color w:val="auto"/>
        </w:rPr>
      </w:pPr>
    </w:p>
    <w:p>
      <w:pPr>
        <w:ind w:left="8" w:right="40" w:hanging="8"/>
        <w:spacing w:after="0" w:line="238" w:lineRule="auto"/>
        <w:tabs>
          <w:tab w:leader="none" w:pos="49" w:val="left"/>
        </w:tabs>
        <w:numPr>
          <w:ilvl w:val="0"/>
          <w:numId w:val="7"/>
        </w:numPr>
        <w:rPr>
          <w:rFonts w:ascii="Times New Roman" w:cs="Times New Roman" w:eastAsia="Times New Roman" w:hAnsi="Times New Roman"/>
          <w:sz w:val="9"/>
          <w:szCs w:val="9"/>
          <w:color w:val="auto"/>
          <w:vertAlign w:val="superscript"/>
        </w:rPr>
      </w:pPr>
      <w:r>
        <w:rPr>
          <w:rFonts w:ascii="Arial" w:cs="Arial" w:eastAsia="Arial" w:hAnsi="Arial"/>
          <w:sz w:val="7"/>
          <w:szCs w:val="7"/>
          <w:color w:val="auto"/>
        </w:rPr>
        <w:t>As used in this press release, Core net income and Core noninterest expense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spacing w:after="0" w:line="3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8"/>
          </w:cols>
          <w:pgMar w:left="292" w:top="568"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u w:val="single" w:color="auto"/>
          <w:color w:val="auto"/>
        </w:rPr>
        <w:t>Consolidated financial performance (Continued)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other offsetting activity. Fee revenue mix</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21.3% of total revenue for 1Q 2026, compared to 19.9% during 4Q 2025, and 21.4% during 1Q 2025.</w:t>
      </w:r>
    </w:p>
    <w:p>
      <w:pPr>
        <w:spacing w:after="0" w:line="3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Quarterly noninterest expense:</w:t>
      </w:r>
    </w:p>
    <w:p>
      <w:pPr>
        <w:spacing w:after="0" w:line="113" w:lineRule="exact"/>
        <w:rPr>
          <w:sz w:val="20"/>
          <w:szCs w:val="20"/>
          <w:color w:val="auto"/>
        </w:rPr>
      </w:pPr>
    </w:p>
    <w:p>
      <w:pPr>
        <w:ind w:left="420" w:hanging="212"/>
        <w:spacing w:after="0" w:line="243"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Noninterest expense of $43.7 million increased $4.6 million compared to 4Q 2025 and increased $5.6 million compared to 1Q 2025. Core noninterest expense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$43.7 million increased $4.6 million compared to 4Q 2025 and increased $6.9 million compared to 1Q 2025. Core comparisons include:</w:t>
      </w:r>
    </w:p>
    <w:p>
      <w:pPr>
        <w:spacing w:after="0" w:line="91" w:lineRule="exact"/>
        <w:rPr>
          <w:rFonts w:ascii="Arial" w:cs="Arial" w:eastAsia="Arial" w:hAnsi="Arial"/>
          <w:sz w:val="12"/>
          <w:szCs w:val="12"/>
          <w:color w:val="auto"/>
        </w:rPr>
      </w:pPr>
    </w:p>
    <w:p>
      <w:pPr>
        <w:ind w:left="640" w:hanging="216"/>
        <w:spacing w:after="0"/>
        <w:tabs>
          <w:tab w:leader="none" w:pos="640" w:val="left"/>
        </w:tabs>
        <w:numPr>
          <w:ilvl w:val="1"/>
          <w:numId w:val="8"/>
        </w:numPr>
        <w:rPr>
          <w:rFonts w:ascii="Arial" w:cs="Arial" w:eastAsia="Arial" w:hAnsi="Arial"/>
          <w:sz w:val="12"/>
          <w:szCs w:val="12"/>
          <w:color w:val="auto"/>
        </w:rPr>
      </w:pPr>
      <w:r>
        <w:rPr>
          <w:rFonts w:ascii="Arial" w:cs="Arial" w:eastAsia="Arial" w:hAnsi="Arial"/>
          <w:sz w:val="12"/>
          <w:szCs w:val="12"/>
          <w:color w:val="auto"/>
        </w:rPr>
        <w:t>The increase of $4.6 million quarter-over-quarter was primarily driven by the following:</w:t>
      </w:r>
    </w:p>
    <w:p>
      <w:pPr>
        <w:spacing w:after="0" w:line="114" w:lineRule="exact"/>
        <w:rPr>
          <w:rFonts w:ascii="Arial" w:cs="Arial" w:eastAsia="Arial" w:hAnsi="Arial"/>
          <w:sz w:val="12"/>
          <w:szCs w:val="12"/>
          <w:color w:val="auto"/>
        </w:rPr>
      </w:pPr>
    </w:p>
    <w:p>
      <w:pPr>
        <w:ind w:left="1060" w:hanging="204"/>
        <w:spacing w:after="0"/>
        <w:tabs>
          <w:tab w:leader="none" w:pos="1060" w:val="left"/>
        </w:tabs>
        <w:numPr>
          <w:ilvl w:val="2"/>
          <w:numId w:val="8"/>
        </w:numPr>
        <w:rPr>
          <w:rFonts w:ascii="Arial" w:cs="Arial" w:eastAsia="Arial" w:hAnsi="Arial"/>
          <w:sz w:val="12"/>
          <w:szCs w:val="12"/>
          <w:color w:val="auto"/>
        </w:rPr>
      </w:pPr>
      <w:r>
        <w:rPr>
          <w:rFonts w:ascii="Arial" w:cs="Arial" w:eastAsia="Arial" w:hAnsi="Arial"/>
          <w:sz w:val="12"/>
          <w:szCs w:val="12"/>
          <w:color w:val="auto"/>
        </w:rPr>
        <w:t>$2.4 million from personnel expenses, driven by planned investment and expansion in headcount;</w:t>
      </w:r>
    </w:p>
    <w:p>
      <w:pPr>
        <w:spacing w:after="0" w:line="113" w:lineRule="exact"/>
        <w:rPr>
          <w:rFonts w:ascii="Arial" w:cs="Arial" w:eastAsia="Arial" w:hAnsi="Arial"/>
          <w:sz w:val="12"/>
          <w:szCs w:val="12"/>
          <w:color w:val="auto"/>
        </w:rPr>
      </w:pPr>
    </w:p>
    <w:p>
      <w:pPr>
        <w:ind w:left="1080" w:hanging="224"/>
        <w:spacing w:after="0" w:line="243" w:lineRule="auto"/>
        <w:tabs>
          <w:tab w:leader="none" w:pos="1086" w:val="left"/>
        </w:tabs>
        <w:numPr>
          <w:ilvl w:val="2"/>
          <w:numId w:val="8"/>
        </w:numPr>
        <w:rPr>
          <w:rFonts w:ascii="Arial" w:cs="Arial" w:eastAsia="Arial" w:hAnsi="Arial"/>
          <w:sz w:val="12"/>
          <w:szCs w:val="12"/>
          <w:color w:val="auto"/>
        </w:rPr>
      </w:pPr>
      <w:r>
        <w:rPr>
          <w:rFonts w:ascii="Arial" w:cs="Arial" w:eastAsia="Arial" w:hAnsi="Arial"/>
          <w:sz w:val="12"/>
          <w:szCs w:val="12"/>
          <w:color w:val="auto"/>
        </w:rPr>
        <w:t>$0.9 million from occupancy &amp; equipment, driven by an increase in software contracts, acceleration of depreciation of capitalized assets related to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technology, and an increase in lease expenses;</w:t>
      </w:r>
    </w:p>
    <w:p>
      <w:pPr>
        <w:spacing w:after="0" w:line="91" w:lineRule="exact"/>
        <w:rPr>
          <w:rFonts w:ascii="Arial" w:cs="Arial" w:eastAsia="Arial" w:hAnsi="Arial"/>
          <w:sz w:val="12"/>
          <w:szCs w:val="12"/>
          <w:color w:val="auto"/>
        </w:rPr>
      </w:pPr>
    </w:p>
    <w:p>
      <w:pPr>
        <w:ind w:left="1060" w:hanging="204"/>
        <w:spacing w:after="0"/>
        <w:tabs>
          <w:tab w:leader="none" w:pos="1060" w:val="left"/>
        </w:tabs>
        <w:numPr>
          <w:ilvl w:val="2"/>
          <w:numId w:val="8"/>
        </w:numPr>
        <w:rPr>
          <w:rFonts w:ascii="Arial" w:cs="Arial" w:eastAsia="Arial" w:hAnsi="Arial"/>
          <w:sz w:val="12"/>
          <w:szCs w:val="12"/>
          <w:color w:val="auto"/>
        </w:rPr>
      </w:pPr>
      <w:r>
        <w:rPr>
          <w:rFonts w:ascii="Arial" w:cs="Arial" w:eastAsia="Arial" w:hAnsi="Arial"/>
          <w:sz w:val="12"/>
          <w:szCs w:val="12"/>
          <w:color w:val="auto"/>
        </w:rPr>
        <w:t>$0.7 million from professional fees, driven by planned investment in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initiatives and other professional fees;</w:t>
      </w:r>
    </w:p>
    <w:p>
      <w:pPr>
        <w:spacing w:after="0" w:line="79" w:lineRule="exact"/>
        <w:rPr>
          <w:rFonts w:ascii="Arial" w:cs="Arial" w:eastAsia="Arial" w:hAnsi="Arial"/>
          <w:sz w:val="12"/>
          <w:szCs w:val="12"/>
          <w:color w:val="auto"/>
        </w:rPr>
      </w:pPr>
    </w:p>
    <w:p>
      <w:pPr>
        <w:ind w:left="1060" w:hanging="204"/>
        <w:spacing w:after="0"/>
        <w:tabs>
          <w:tab w:leader="none" w:pos="1060" w:val="left"/>
        </w:tabs>
        <w:numPr>
          <w:ilvl w:val="2"/>
          <w:numId w:val="8"/>
        </w:numPr>
        <w:rPr>
          <w:rFonts w:ascii="Arial" w:cs="Arial" w:eastAsia="Arial" w:hAnsi="Arial"/>
          <w:sz w:val="12"/>
          <w:szCs w:val="12"/>
          <w:color w:val="auto"/>
        </w:rPr>
      </w:pPr>
      <w:r>
        <w:rPr>
          <w:rFonts w:ascii="Arial" w:cs="Arial" w:eastAsia="Arial" w:hAnsi="Arial"/>
          <w:sz w:val="12"/>
          <w:szCs w:val="12"/>
          <w:color w:val="auto"/>
        </w:rPr>
        <w:t>$0.3 million from data processing driven by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other core processing costs; and</w:t>
      </w:r>
    </w:p>
    <w:p>
      <w:pPr>
        <w:spacing w:after="0" w:line="79" w:lineRule="exact"/>
        <w:rPr>
          <w:rFonts w:ascii="Arial" w:cs="Arial" w:eastAsia="Arial" w:hAnsi="Arial"/>
          <w:sz w:val="12"/>
          <w:szCs w:val="12"/>
          <w:color w:val="auto"/>
        </w:rPr>
      </w:pPr>
    </w:p>
    <w:p>
      <w:pPr>
        <w:ind w:left="1060" w:hanging="204"/>
        <w:spacing w:after="0"/>
        <w:tabs>
          <w:tab w:leader="none" w:pos="1060" w:val="left"/>
        </w:tabs>
        <w:numPr>
          <w:ilvl w:val="2"/>
          <w:numId w:val="8"/>
        </w:numPr>
        <w:rPr>
          <w:rFonts w:ascii="Arial" w:cs="Arial" w:eastAsia="Arial" w:hAnsi="Arial"/>
          <w:sz w:val="12"/>
          <w:szCs w:val="12"/>
          <w:color w:val="auto"/>
        </w:rPr>
      </w:pPr>
      <w:r>
        <w:rPr>
          <w:rFonts w:ascii="Arial" w:cs="Arial" w:eastAsia="Arial" w:hAnsi="Arial"/>
          <w:sz w:val="12"/>
          <w:szCs w:val="12"/>
          <w:color w:val="auto"/>
        </w:rPr>
        <w:t>$0.2 million from loan processing, driven by loan expenses associated with our government guaranteed lending portfolio;</w:t>
      </w:r>
    </w:p>
    <w:p>
      <w:pPr>
        <w:spacing w:after="0" w:line="114" w:lineRule="exact"/>
        <w:rPr>
          <w:rFonts w:ascii="Arial" w:cs="Arial" w:eastAsia="Arial" w:hAnsi="Arial"/>
          <w:sz w:val="12"/>
          <w:szCs w:val="12"/>
          <w:color w:val="auto"/>
        </w:rPr>
      </w:pPr>
    </w:p>
    <w:p>
      <w:pPr>
        <w:jc w:val="both"/>
        <w:ind w:left="640" w:hanging="216"/>
        <w:spacing w:after="0" w:line="235" w:lineRule="auto"/>
        <w:tabs>
          <w:tab w:leader="none" w:pos="646" w:val="left"/>
        </w:tabs>
        <w:numPr>
          <w:ilvl w:val="1"/>
          <w:numId w:val="8"/>
        </w:numPr>
        <w:rPr>
          <w:rFonts w:ascii="Arial" w:cs="Arial" w:eastAsia="Arial" w:hAnsi="Arial"/>
          <w:sz w:val="12"/>
          <w:szCs w:val="12"/>
          <w:color w:val="auto"/>
        </w:rPr>
      </w:pPr>
      <w:r>
        <w:rPr>
          <w:rFonts w:ascii="Arial" w:cs="Arial" w:eastAsia="Arial" w:hAnsi="Arial"/>
          <w:sz w:val="12"/>
          <w:szCs w:val="12"/>
          <w:color w:val="auto"/>
        </w:rPr>
        <w:t>Year-over-year expense growth of $6.9 million was driven by professional fees associated with investments in shared services areas and OpenSky</w:t>
      </w:r>
      <w:r>
        <w:rPr>
          <w:rFonts w:ascii="Arial" w:cs="Arial" w:eastAsia="Arial" w:hAnsi="Arial"/>
          <w:sz w:val="15"/>
          <w:szCs w:val="15"/>
          <w:color w:val="auto"/>
          <w:vertAlign w:val="superscript"/>
        </w:rPr>
        <w:t>™</w:t>
      </w:r>
      <w:r>
        <w:rPr>
          <w:rFonts w:ascii="Arial" w:cs="Arial" w:eastAsia="Arial" w:hAnsi="Arial"/>
          <w:sz w:val="12"/>
          <w:szCs w:val="12"/>
          <w:color w:val="auto"/>
        </w:rPr>
        <w:t>, personnel expense due to headcount growth, growth in data processing costs from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core processing for the Commercial Bank, and an increase in loan processing costs and loan expenses associated with our government guaranteed lending portfolio.</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Quarterly income taxes:</w:t>
      </w:r>
    </w:p>
    <w:p>
      <w:pPr>
        <w:spacing w:after="0" w:line="132" w:lineRule="exact"/>
        <w:rPr>
          <w:sz w:val="20"/>
          <w:szCs w:val="20"/>
          <w:color w:val="auto"/>
        </w:rPr>
      </w:pPr>
    </w:p>
    <w:p>
      <w:pPr>
        <w:ind w:left="420" w:right="20" w:hanging="212"/>
        <w:spacing w:after="0" w:line="293" w:lineRule="auto"/>
        <w:tabs>
          <w:tab w:leader="none" w:pos="398" w:val="left"/>
        </w:tabs>
        <w:numPr>
          <w:ilvl w:val="0"/>
          <w:numId w:val="9"/>
        </w:numPr>
        <w:rPr>
          <w:rFonts w:ascii="Arial" w:cs="Arial" w:eastAsia="Arial" w:hAnsi="Arial"/>
          <w:sz w:val="14"/>
          <w:szCs w:val="14"/>
          <w:color w:val="auto"/>
        </w:rPr>
      </w:pPr>
      <w:r>
        <w:rPr>
          <w:rFonts w:ascii="Arial" w:cs="Arial" w:eastAsia="Arial" w:hAnsi="Arial"/>
          <w:sz w:val="12"/>
          <w:szCs w:val="12"/>
          <w:color w:val="auto"/>
        </w:rPr>
        <w:t>Income tax expense of $3.9 million, or 24.3% of pre-tax income for 1Q 2026, decreased $0.8 million from $4.6 million, or 23.6% of pre-tax income for 4Q 2025. The effective income tax rate change quarter-over-quarter was primarily due to certain one-time tax benefits recognized during 4Q 2025.</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assets:</w:t>
      </w:r>
    </w:p>
    <w:p>
      <w:pPr>
        <w:spacing w:after="0" w:line="114" w:lineRule="exact"/>
        <w:rPr>
          <w:sz w:val="20"/>
          <w:szCs w:val="20"/>
          <w:color w:val="auto"/>
        </w:rPr>
      </w:pPr>
    </w:p>
    <w:p>
      <w:pPr>
        <w:ind w:right="140"/>
        <w:spacing w:after="0" w:line="301" w:lineRule="auto"/>
        <w:rPr>
          <w:sz w:val="20"/>
          <w:szCs w:val="20"/>
          <w:color w:val="auto"/>
        </w:rPr>
      </w:pPr>
      <w:r>
        <w:rPr>
          <w:rFonts w:ascii="Arial" w:cs="Arial" w:eastAsia="Arial" w:hAnsi="Arial"/>
          <w:sz w:val="12"/>
          <w:szCs w:val="12"/>
          <w:color w:val="auto"/>
        </w:rPr>
        <w:t>Total assets of $3.8 billion at March 31, 2026 increased $202.3 million, or 22.7% (annualized) from December 31, 2025. Total assets growth year-over-year was $458.7 million, or 13.7%. The growth quarter-over-quarter, and year-over-year, was primarily driven by increases in portfolio loans, and cash balances.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Loans:</w:t>
      </w:r>
    </w:p>
    <w:p>
      <w:pPr>
        <w:spacing w:after="0" w:line="114"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color w:val="auto"/>
        </w:rPr>
        <w:t>•</w:t>
        <w:tab/>
        <w:t>Gross Loans of $3.0 billion at March 31, 2026 increased $67.0 million, or 9.2% (annualized), from December 31, 2025 and increased $348.0 million, or 13.0%, year-over-year.</w:t>
      </w:r>
    </w:p>
    <w:p>
      <w:pPr>
        <w:spacing w:after="0" w:line="114" w:lineRule="exact"/>
        <w:rPr>
          <w:sz w:val="20"/>
          <w:szCs w:val="20"/>
          <w:color w:val="auto"/>
        </w:rPr>
      </w:pPr>
    </w:p>
    <w:p>
      <w:pPr>
        <w:ind w:left="640" w:hanging="215"/>
        <w:spacing w:after="0" w:line="301" w:lineRule="auto"/>
        <w:tabs>
          <w:tab w:leader="none" w:pos="620" w:val="left"/>
        </w:tabs>
        <w:rPr>
          <w:sz w:val="20"/>
          <w:szCs w:val="20"/>
          <w:color w:val="auto"/>
        </w:rPr>
      </w:pPr>
      <w:r>
        <w:rPr>
          <w:rFonts w:ascii="Arial" w:cs="Arial" w:eastAsia="Arial" w:hAnsi="Arial"/>
          <w:sz w:val="12"/>
          <w:szCs w:val="12"/>
          <w:color w:val="auto"/>
        </w:rPr>
        <w:t>◦</w:t>
        <w:tab/>
        <w:t>Compared to December 31, 2025, growth was primarily driven by $32.3 million from commercial and industrial ("C&amp;I"), $29.7 million from residential real estate, and $6.1 million from construction real estate. C&amp;I contributed 48.2% of total loan growth in the quarter.</w:t>
      </w:r>
    </w:p>
    <w:p>
      <w:pPr>
        <w:spacing w:after="0" w:line="59" w:lineRule="exact"/>
        <w:rPr>
          <w:sz w:val="20"/>
          <w:szCs w:val="20"/>
          <w:color w:val="auto"/>
        </w:rPr>
      </w:pPr>
    </w:p>
    <w:p>
      <w:pPr>
        <w:ind w:left="420"/>
        <w:spacing w:after="0"/>
        <w:tabs>
          <w:tab w:leader="none" w:pos="620" w:val="left"/>
        </w:tabs>
        <w:rPr>
          <w:sz w:val="20"/>
          <w:szCs w:val="20"/>
          <w:color w:val="auto"/>
        </w:rPr>
      </w:pPr>
      <w:r>
        <w:rPr>
          <w:rFonts w:ascii="Arial" w:cs="Arial" w:eastAsia="Arial" w:hAnsi="Arial"/>
          <w:sz w:val="12"/>
          <w:szCs w:val="12"/>
          <w:color w:val="auto"/>
        </w:rPr>
        <w:t>◦</w:t>
        <w:tab/>
        <w:t>C&amp;l loans, plus owner-occupied CRE loans, totaled 38.3% of total portfolio loans at March 31, 2026, 37.7% for the prior quarter, and 37.9%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11430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5"/>
          <w:szCs w:val="5"/>
          <w:color w:val="auto"/>
        </w:rPr>
        <w:t xml:space="preserve">1 </w:t>
      </w:r>
      <w:r>
        <w:rPr>
          <w:rFonts w:ascii="Arial" w:cs="Arial" w:eastAsia="Arial" w:hAnsi="Arial"/>
          <w:sz w:val="7"/>
          <w:szCs w:val="7"/>
          <w:color w:val="auto"/>
        </w:rPr>
        <w:t>Fee revenue mix equals fee revenue divided by the sum of fee revenue and net interest income before provision for credit losses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568"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u w:val="single" w:color="auto"/>
          <w:color w:val="auto"/>
        </w:rPr>
        <w:t>Consolidated financial performance (Continued)</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Deposits:</w:t>
      </w:r>
    </w:p>
    <w:p>
      <w:pPr>
        <w:spacing w:after="0" w:line="114" w:lineRule="exact"/>
        <w:rPr>
          <w:sz w:val="20"/>
          <w:szCs w:val="20"/>
          <w:color w:val="auto"/>
        </w:rPr>
      </w:pPr>
    </w:p>
    <w:p>
      <w:pPr>
        <w:ind w:left="428" w:hanging="212"/>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Total deposits of $3.3 billion at March 31, 2026 increased $198.8 million, or 26.1% (annualized), from December 31, 2025, and increased $400.7 million, or 13.9% from March 31, 2025.</w:t>
      </w:r>
    </w:p>
    <w:p>
      <w:pPr>
        <w:spacing w:after="0" w:line="114" w:lineRule="exact"/>
        <w:rPr>
          <w:rFonts w:ascii="Arial" w:cs="Arial" w:eastAsia="Arial" w:hAnsi="Arial"/>
          <w:sz w:val="12"/>
          <w:szCs w:val="12"/>
          <w:color w:val="auto"/>
        </w:rPr>
      </w:pPr>
    </w:p>
    <w:p>
      <w:pPr>
        <w:jc w:val="both"/>
        <w:ind w:left="868" w:hanging="220"/>
        <w:spacing w:after="0" w:line="291" w:lineRule="auto"/>
        <w:tabs>
          <w:tab w:leader="none" w:pos="865" w:val="left"/>
        </w:tabs>
        <w:numPr>
          <w:ilvl w:val="2"/>
          <w:numId w:val="10"/>
        </w:numPr>
        <w:rPr>
          <w:rFonts w:ascii="Arial" w:cs="Arial" w:eastAsia="Arial" w:hAnsi="Arial"/>
          <w:sz w:val="12"/>
          <w:szCs w:val="12"/>
          <w:color w:val="auto"/>
        </w:rPr>
      </w:pPr>
      <w:r>
        <w:rPr>
          <w:rFonts w:ascii="Arial" w:cs="Arial" w:eastAsia="Arial" w:hAnsi="Arial"/>
          <w:sz w:val="12"/>
          <w:szCs w:val="12"/>
          <w:color w:val="auto"/>
        </w:rPr>
        <w:t>When excluding the decrease in brokered time deposits of $73.6 million, customer deposits increased $272.5 million or 40.7% (annualized), including $170.9 million of growth in customer money market deposits, $84.5 million of growth in interest-bearing demand accounts, $18.9 million of growth in noninterest-bearing deposits, and $9.8 million of growth in savings accounts, offset by a decrease of $11.6 million in customer time deposits.</w:t>
      </w:r>
    </w:p>
    <w:p>
      <w:pPr>
        <w:spacing w:after="0" w:line="83" w:lineRule="exact"/>
        <w:rPr>
          <w:rFonts w:ascii="Arial" w:cs="Arial" w:eastAsia="Arial" w:hAnsi="Arial"/>
          <w:sz w:val="12"/>
          <w:szCs w:val="12"/>
          <w:color w:val="auto"/>
        </w:rPr>
      </w:pPr>
    </w:p>
    <w:p>
      <w:pPr>
        <w:ind w:left="1288" w:hanging="208"/>
        <w:spacing w:after="0" w:line="277" w:lineRule="auto"/>
        <w:tabs>
          <w:tab w:leader="none" w:pos="1285" w:val="left"/>
        </w:tabs>
        <w:numPr>
          <w:ilvl w:val="4"/>
          <w:numId w:val="10"/>
        </w:numPr>
        <w:rPr>
          <w:rFonts w:ascii="Arial" w:cs="Arial" w:eastAsia="Arial" w:hAnsi="Arial"/>
          <w:sz w:val="14"/>
          <w:szCs w:val="14"/>
          <w:color w:val="auto"/>
        </w:rPr>
      </w:pPr>
      <w:r>
        <w:rPr>
          <w:rFonts w:ascii="Arial" w:cs="Arial" w:eastAsia="Arial" w:hAnsi="Arial"/>
          <w:sz w:val="12"/>
          <w:szCs w:val="12"/>
          <w:color w:val="auto"/>
        </w:rPr>
        <w:t>The growth in the quarter includes $107.8 million of deposits tied to one customer. Excluding this relationship, total deposits increased $91.0 million, or 11.9% (annualized) and customer deposits increased $164.7 million, or 27.0% (annualized).</w:t>
      </w:r>
    </w:p>
    <w:p>
      <w:pPr>
        <w:spacing w:after="0" w:line="68" w:lineRule="exact"/>
        <w:rPr>
          <w:rFonts w:ascii="Arial" w:cs="Arial" w:eastAsia="Arial" w:hAnsi="Arial"/>
          <w:sz w:val="14"/>
          <w:szCs w:val="14"/>
          <w:color w:val="auto"/>
        </w:rPr>
      </w:pPr>
    </w:p>
    <w:p>
      <w:pPr>
        <w:jc w:val="both"/>
        <w:ind w:left="868" w:hanging="220"/>
        <w:spacing w:after="0" w:line="291" w:lineRule="auto"/>
        <w:tabs>
          <w:tab w:leader="none" w:pos="874" w:val="left"/>
        </w:tabs>
        <w:numPr>
          <w:ilvl w:val="2"/>
          <w:numId w:val="10"/>
        </w:numPr>
        <w:rPr>
          <w:rFonts w:ascii="Arial" w:cs="Arial" w:eastAsia="Arial" w:hAnsi="Arial"/>
          <w:sz w:val="12"/>
          <w:szCs w:val="12"/>
          <w:color w:val="auto"/>
        </w:rPr>
      </w:pPr>
      <w:r>
        <w:rPr>
          <w:rFonts w:ascii="Arial" w:cs="Arial" w:eastAsia="Arial" w:hAnsi="Arial"/>
          <w:sz w:val="12"/>
          <w:szCs w:val="12"/>
          <w:color w:val="auto"/>
        </w:rPr>
        <w:t>The increase in total deposits of $400.7 million year-over-year was driven by $363.6 million in growth from customer money market deposits, $59.5 million from noninterest-bearing deposits, $45.3 million from interest-bearing demand accounts, and $8.7 million from savings accounts, offset by a decrease of $71.5 million from customer time deposits, and $4.7 million from brokered time deposits.</w:t>
      </w:r>
    </w:p>
    <w:p>
      <w:pPr>
        <w:spacing w:after="0" w:line="64" w:lineRule="exact"/>
        <w:rPr>
          <w:rFonts w:ascii="Arial" w:cs="Arial" w:eastAsia="Arial" w:hAnsi="Arial"/>
          <w:sz w:val="12"/>
          <w:szCs w:val="12"/>
          <w:color w:val="auto"/>
        </w:rPr>
      </w:pPr>
    </w:p>
    <w:p>
      <w:pPr>
        <w:ind w:left="648" w:hanging="216"/>
        <w:spacing w:after="0"/>
        <w:tabs>
          <w:tab w:leader="none" w:pos="648" w:val="left"/>
        </w:tabs>
        <w:numPr>
          <w:ilvl w:val="1"/>
          <w:numId w:val="10"/>
        </w:numPr>
        <w:rPr>
          <w:rFonts w:ascii="Arial" w:cs="Arial" w:eastAsia="Arial" w:hAnsi="Arial"/>
          <w:sz w:val="12"/>
          <w:szCs w:val="12"/>
          <w:color w:val="auto"/>
        </w:rPr>
      </w:pPr>
      <w:r>
        <w:rPr>
          <w:rFonts w:ascii="Arial" w:cs="Arial" w:eastAsia="Arial" w:hAnsi="Arial"/>
          <w:sz w:val="12"/>
          <w:szCs w:val="12"/>
          <w:color w:val="auto"/>
        </w:rPr>
        <w:t>Insured and protected</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deposits were approximately $2.3 billion as of March 31, 2026 representing 69.4% of the Company's deposit portfolio.</w:t>
      </w:r>
    </w:p>
    <w:p>
      <w:pPr>
        <w:spacing w:after="0" w:line="79" w:lineRule="exact"/>
        <w:rPr>
          <w:rFonts w:ascii="Arial" w:cs="Arial" w:eastAsia="Arial" w:hAnsi="Arial"/>
          <w:sz w:val="12"/>
          <w:szCs w:val="12"/>
          <w:color w:val="auto"/>
        </w:rPr>
      </w:pPr>
    </w:p>
    <w:p>
      <w:pPr>
        <w:ind w:left="648" w:hanging="216"/>
        <w:spacing w:after="0" w:line="243" w:lineRule="auto"/>
        <w:tabs>
          <w:tab w:leader="none" w:pos="654" w:val="left"/>
        </w:tabs>
        <w:numPr>
          <w:ilvl w:val="1"/>
          <w:numId w:val="10"/>
        </w:numPr>
        <w:rPr>
          <w:rFonts w:ascii="Arial" w:cs="Arial" w:eastAsia="Arial" w:hAnsi="Arial"/>
          <w:sz w:val="12"/>
          <w:szCs w:val="12"/>
          <w:color w:val="auto"/>
        </w:rPr>
      </w:pPr>
      <w:r>
        <w:rPr>
          <w:rFonts w:ascii="Arial" w:cs="Arial" w:eastAsia="Arial" w:hAnsi="Arial"/>
          <w:sz w:val="12"/>
          <w:szCs w:val="12"/>
          <w:color w:val="auto"/>
        </w:rPr>
        <w:t>Low interest</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noninterest-bearing demand deposit account ("DDA") deposits of $1.2 billion, or 37.5% of deposits, increased $113.2 million, or 40.9% (annualized) from 4Q 2025, and increased $113.4 million, or 10.1% year-over-year.</w:t>
      </w:r>
    </w:p>
    <w:p>
      <w:pPr>
        <w:spacing w:after="0" w:line="91" w:lineRule="exact"/>
        <w:rPr>
          <w:rFonts w:ascii="Arial" w:cs="Arial" w:eastAsia="Arial" w:hAnsi="Arial"/>
          <w:sz w:val="12"/>
          <w:szCs w:val="12"/>
          <w:color w:val="auto"/>
        </w:rPr>
      </w:pPr>
    </w:p>
    <w:p>
      <w:pPr>
        <w:ind w:left="1088" w:hanging="224"/>
        <w:spacing w:after="0" w:line="317" w:lineRule="auto"/>
        <w:tabs>
          <w:tab w:leader="none" w:pos="1085" w:val="left"/>
        </w:tabs>
        <w:numPr>
          <w:ilvl w:val="3"/>
          <w:numId w:val="10"/>
        </w:numPr>
        <w:rPr>
          <w:rFonts w:ascii="Arial" w:cs="Arial" w:eastAsia="Arial" w:hAnsi="Arial"/>
          <w:sz w:val="12"/>
          <w:szCs w:val="12"/>
          <w:color w:val="auto"/>
        </w:rPr>
      </w:pPr>
      <w:r>
        <w:rPr>
          <w:rFonts w:ascii="Arial" w:cs="Arial" w:eastAsia="Arial" w:hAnsi="Arial"/>
          <w:sz w:val="12"/>
          <w:szCs w:val="12"/>
          <w:color w:val="auto"/>
        </w:rPr>
        <w:t>The growth in the quarter of low interest and noninterest-bearing DDA deposits includes $36.1 million of deposits tied to one customer, the same relationship mentioned above. Excluding this relationship, total low interest and noninterest-bearing DDA deposits increased $77.1 million, or 27.9% from 4Q 2025, and increased $77.3 million, or 27.9% year-over-year.</w:t>
      </w:r>
    </w:p>
    <w:p>
      <w:pPr>
        <w:spacing w:after="0" w:line="49" w:lineRule="exact"/>
        <w:rPr>
          <w:rFonts w:ascii="Arial" w:cs="Arial" w:eastAsia="Arial" w:hAnsi="Arial"/>
          <w:sz w:val="12"/>
          <w:szCs w:val="12"/>
          <w:color w:val="auto"/>
        </w:rPr>
      </w:pPr>
    </w:p>
    <w:p>
      <w:pPr>
        <w:ind w:left="1068" w:hanging="204"/>
        <w:spacing w:after="0"/>
        <w:tabs>
          <w:tab w:leader="none" w:pos="1068" w:val="left"/>
        </w:tabs>
        <w:numPr>
          <w:ilvl w:val="3"/>
          <w:numId w:val="10"/>
        </w:numPr>
        <w:rPr>
          <w:rFonts w:ascii="Arial" w:cs="Arial" w:eastAsia="Arial" w:hAnsi="Arial"/>
          <w:sz w:val="12"/>
          <w:szCs w:val="12"/>
          <w:color w:val="auto"/>
        </w:rPr>
      </w:pPr>
      <w:r>
        <w:rPr>
          <w:rFonts w:ascii="Arial" w:cs="Arial" w:eastAsia="Arial" w:hAnsi="Arial"/>
          <w:sz w:val="12"/>
          <w:szCs w:val="12"/>
          <w:color w:val="auto"/>
        </w:rPr>
        <w:t>The average rate on the low interest and noninterest-bearing deposits was 0.16% for 1Q 2026, which increased 2 bps compared to 4Q 2025 and increased 1 bps year-over-year</w:t>
      </w:r>
      <w:r>
        <w:rPr>
          <w:rFonts w:ascii="Times New Roman" w:cs="Times New Roman" w:eastAsia="Times New Roman" w:hAnsi="Times New Roman"/>
          <w:sz w:val="12"/>
          <w:szCs w:val="12"/>
          <w:color w:val="auto"/>
        </w:rPr>
        <w:t>.</w:t>
      </w:r>
    </w:p>
    <w:p>
      <w:pPr>
        <w:spacing w:after="0" w:line="113" w:lineRule="exact"/>
        <w:rPr>
          <w:rFonts w:ascii="Arial" w:cs="Arial" w:eastAsia="Arial" w:hAnsi="Arial"/>
          <w:sz w:val="12"/>
          <w:szCs w:val="12"/>
          <w:color w:val="auto"/>
        </w:rPr>
      </w:pPr>
    </w:p>
    <w:p>
      <w:pPr>
        <w:ind w:left="428" w:hanging="212"/>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average portfolio loans-to-deposit ratio was 96.1% for 1Q 2026, compared to 97.0% for 4Q 2025, and 95.2% for 1Q 2025.</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Investment securities:</w:t>
      </w:r>
    </w:p>
    <w:p>
      <w:pPr>
        <w:spacing w:after="0" w:line="114" w:lineRule="exact"/>
        <w:rPr>
          <w:sz w:val="20"/>
          <w:szCs w:val="20"/>
          <w:color w:val="auto"/>
        </w:rPr>
      </w:pPr>
    </w:p>
    <w:p>
      <w:pPr>
        <w:jc w:val="both"/>
        <w:ind w:left="428" w:hanging="212"/>
        <w:spacing w:after="0" w:line="284" w:lineRule="auto"/>
        <w:tabs>
          <w:tab w:leader="none" w:pos="425"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investment securities portfolio continues to be classified as available-for-sale and had a fair market value of $230.5 million, or 6.1% of total assets, and an effective duration of 2.3 years, with U.S. Treasury Securities representing 61% of the overall investment portfolio at March 31, 2026. The accumulated other comprehensive income (loss) on the investment securities portfolio declined $0.6 million during the quarter to $(6.4) million after-tax as of March 31, 2026, which represents 1.6% of total stockholders' equity. The Company does not have a held-to-maturity investment securities portfolio.</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w:t>
      </w:r>
    </w:p>
    <w:p>
      <w:pPr>
        <w:spacing w:after="0" w:line="114" w:lineRule="exact"/>
        <w:rPr>
          <w:sz w:val="20"/>
          <w:szCs w:val="20"/>
          <w:color w:val="auto"/>
        </w:rPr>
      </w:pPr>
    </w:p>
    <w:p>
      <w:pPr>
        <w:jc w:val="both"/>
        <w:ind w:left="428"/>
        <w:spacing w:after="0" w:line="291" w:lineRule="auto"/>
        <w:rPr>
          <w:sz w:val="20"/>
          <w:szCs w:val="20"/>
          <w:color w:val="auto"/>
        </w:rPr>
      </w:pPr>
      <w:r>
        <w:rPr>
          <w:rFonts w:ascii="Arial" w:cs="Arial" w:eastAsia="Arial" w:hAnsi="Arial"/>
          <w:sz w:val="12"/>
          <w:szCs w:val="12"/>
          <w:color w:val="auto"/>
        </w:rPr>
        <w:t>The Company maintains stable and diversified sources of contingent liquidity, generally consistent with prior quarter. Total available borrowing capacity as of March 31, 2026 was $809.5 million, compared to $816.9 million as of December 31, 2025, consisting of $705.3 million of available collateralized borrowing capacity, $96.0 million of unsecured lines of credit with other banks, and $8.2 million of unpledged investment securities available to collateralize potential additional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11430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81" w:lineRule="exact"/>
        <w:rPr>
          <w:sz w:val="20"/>
          <w:szCs w:val="20"/>
          <w:color w:val="auto"/>
        </w:rPr>
      </w:pPr>
    </w:p>
    <w:p>
      <w:pPr>
        <w:ind w:left="48" w:hanging="48"/>
        <w:spacing w:after="0"/>
        <w:tabs>
          <w:tab w:leader="none" w:pos="48" w:val="left"/>
        </w:tabs>
        <w:numPr>
          <w:ilvl w:val="0"/>
          <w:numId w:val="12"/>
        </w:numPr>
        <w:rPr>
          <w:rFonts w:ascii="Arial" w:cs="Arial" w:eastAsia="Arial" w:hAnsi="Arial"/>
          <w:sz w:val="9"/>
          <w:szCs w:val="9"/>
          <w:color w:val="auto"/>
          <w:vertAlign w:val="superscript"/>
        </w:rPr>
      </w:pPr>
      <w:r>
        <w:rPr>
          <w:rFonts w:ascii="Arial" w:cs="Arial" w:eastAsia="Arial" w:hAnsi="Arial"/>
          <w:sz w:val="7"/>
          <w:szCs w:val="7"/>
          <w:color w:val="auto"/>
        </w:rPr>
        <w:t>Protected deposits includes deposits that are indirectly protected under the product terms.</w:t>
      </w:r>
    </w:p>
    <w:p>
      <w:pPr>
        <w:spacing w:after="0" w:line="2" w:lineRule="exact"/>
        <w:rPr>
          <w:rFonts w:ascii="Arial" w:cs="Arial" w:eastAsia="Arial" w:hAnsi="Arial"/>
          <w:sz w:val="9"/>
          <w:szCs w:val="9"/>
          <w:color w:val="auto"/>
          <w:vertAlign w:val="superscript"/>
        </w:rPr>
      </w:pPr>
    </w:p>
    <w:p>
      <w:pPr>
        <w:ind w:left="8"/>
        <w:spacing w:after="0"/>
        <w:rPr>
          <w:rFonts w:ascii="Arial" w:cs="Arial" w:eastAsia="Arial" w:hAnsi="Arial"/>
          <w:sz w:val="9"/>
          <w:szCs w:val="9"/>
          <w:color w:val="auto"/>
          <w:vertAlign w:val="superscript"/>
        </w:rPr>
      </w:pPr>
      <w:r>
        <w:rPr>
          <w:rFonts w:ascii="Arial" w:cs="Arial" w:eastAsia="Arial" w:hAnsi="Arial"/>
          <w:sz w:val="9"/>
          <w:szCs w:val="9"/>
          <w:color w:val="auto"/>
          <w:vertAlign w:val="superscript"/>
        </w:rPr>
        <w:t>2</w:t>
      </w:r>
      <w:r>
        <w:rPr>
          <w:rFonts w:ascii="Arial" w:cs="Arial" w:eastAsia="Arial" w:hAnsi="Arial"/>
          <w:sz w:val="7"/>
          <w:szCs w:val="7"/>
          <w:color w:val="auto"/>
        </w:rPr>
        <w:t xml:space="preserve"> Low interest deposits include interest-bearing demand and savings accounts</w:t>
      </w:r>
    </w:p>
    <w:p>
      <w:pPr>
        <w:spacing w:after="0" w:line="3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568"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u w:val="single" w:color="auto"/>
          <w:color w:val="auto"/>
        </w:rPr>
        <w:t>Consolidated financial performance (Continued)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w:t>
      </w:r>
    </w:p>
    <w:p>
      <w:pPr>
        <w:spacing w:after="0" w:line="114" w:lineRule="exact"/>
        <w:rPr>
          <w:sz w:val="20"/>
          <w:szCs w:val="20"/>
          <w:color w:val="auto"/>
        </w:rPr>
      </w:pPr>
    </w:p>
    <w:p>
      <w:pPr>
        <w:jc w:val="both"/>
        <w:ind w:left="420" w:right="20"/>
        <w:spacing w:after="0" w:line="301" w:lineRule="auto"/>
        <w:rPr>
          <w:sz w:val="20"/>
          <w:szCs w:val="20"/>
          <w:color w:val="auto"/>
        </w:rPr>
      </w:pPr>
      <w:r>
        <w:rPr>
          <w:rFonts w:ascii="Arial" w:cs="Arial" w:eastAsia="Arial" w:hAnsi="Arial"/>
          <w:sz w:val="12"/>
          <w:szCs w:val="12"/>
          <w:color w:val="auto"/>
        </w:rPr>
        <w:t>As of March 31, 2026, the Company reported a Common Equity Tier-1 capital ratio of 12.92%, compared to 12.98% at December 31, 2025. At March 31, 2026, the Company and the Bank maintained regulatory capital ratios that exceed all capital adequacy requirements.</w:t>
      </w:r>
    </w:p>
    <w:p>
      <w:pPr>
        <w:spacing w:after="0" w:line="59" w:lineRule="exact"/>
        <w:rPr>
          <w:sz w:val="20"/>
          <w:szCs w:val="20"/>
          <w:color w:val="auto"/>
        </w:rPr>
      </w:pPr>
    </w:p>
    <w:p>
      <w:pPr>
        <w:jc w:val="both"/>
        <w:ind w:left="420"/>
        <w:spacing w:after="0" w:line="291" w:lineRule="auto"/>
        <w:rPr>
          <w:sz w:val="20"/>
          <w:szCs w:val="20"/>
          <w:color w:val="auto"/>
        </w:rPr>
      </w:pPr>
      <w:r>
        <w:rPr>
          <w:rFonts w:ascii="Arial" w:cs="Arial" w:eastAsia="Arial" w:hAnsi="Arial"/>
          <w:sz w:val="12"/>
          <w:szCs w:val="12"/>
          <w:color w:val="auto"/>
        </w:rPr>
        <w:t>Shares repurchased and retired during the three months ended March 31, 2026, as part of the Company's stock repurchase program, totaled 122,757 shares at an average price of $28.89, for a total cost of $3.5 million. The share repurchases consisted of $0.9 million under the Company's previous stock repurchase program, which expired on February 28, 2026, and $2.6 million under the new stock repurchase program. As of March 31, 2026, there was $12.4 million remaining to be repurchased under the current $15.0 million authorization repurchase program, which will expire on December 31, 2026</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568"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b w:val="1"/>
          <w:bCs w:val="1"/>
          <w:u w:val="single" w:color="auto"/>
          <w:color w:val="auto"/>
        </w:rPr>
        <w:t>Financial Metrics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Interest Margin:</w:t>
      </w:r>
    </w:p>
    <w:p>
      <w:pPr>
        <w:spacing w:after="0" w:line="77" w:lineRule="exact"/>
        <w:rPr>
          <w:sz w:val="20"/>
          <w:szCs w:val="20"/>
          <w:color w:val="auto"/>
        </w:rPr>
      </w:pPr>
    </w:p>
    <w:p>
      <w:pPr>
        <w:ind w:left="8"/>
        <w:spacing w:after="0" w:line="257" w:lineRule="auto"/>
        <w:rPr>
          <w:sz w:val="20"/>
          <w:szCs w:val="20"/>
          <w:color w:val="auto"/>
        </w:rPr>
      </w:pPr>
      <w:r>
        <w:rPr>
          <w:rFonts w:ascii="Arial" w:cs="Arial" w:eastAsia="Arial" w:hAnsi="Arial"/>
          <w:sz w:val="12"/>
          <w:szCs w:val="12"/>
          <w:color w:val="auto"/>
        </w:rPr>
        <w:t>NIM of 5.71% for 1Q 2026, decreased 23 bps compared to the prior quarter, and decreased 34 bps year-over-year. Core NIM</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4.15% decreased 4 bps (but decreased 7 bps when excluding PAA) compared to the prior quarter, and decreased 21 bps year-over-year. Net PAA for 1Q 2026 was 5 bps for NIM and 5 bps for Core NIM</w:t>
      </w:r>
      <w:r>
        <w:rPr>
          <w:rFonts w:ascii="Arial" w:cs="Arial" w:eastAsia="Arial" w:hAnsi="Arial"/>
          <w:sz w:val="15"/>
          <w:szCs w:val="15"/>
          <w:color w:val="auto"/>
          <w:vertAlign w:val="superscript"/>
        </w:rPr>
        <w:t>(1)</w:t>
      </w:r>
      <w:r>
        <w:rPr>
          <w:rFonts w:ascii="Arial" w:cs="Arial" w:eastAsia="Arial" w:hAnsi="Arial"/>
          <w:sz w:val="12"/>
          <w:szCs w:val="12"/>
          <w:color w:val="auto"/>
        </w:rPr>
        <w:t>.</w:t>
      </w:r>
    </w:p>
    <w:p>
      <w:pPr>
        <w:spacing w:after="0" w:line="1" w:lineRule="exact"/>
        <w:rPr>
          <w:sz w:val="20"/>
          <w:szCs w:val="20"/>
          <w:color w:val="auto"/>
        </w:rPr>
      </w:pPr>
    </w:p>
    <w:p>
      <w:pPr>
        <w:ind w:left="428" w:hanging="212"/>
        <w:spacing w:after="0" w:line="291" w:lineRule="auto"/>
        <w:tabs>
          <w:tab w:leader="none" w:pos="425"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average yield on interest earning assets of 7.86% decreased 24 bps compared to the prior quarter and decreased 38 bps year-over-year. The decreases quarter-over-quarter and year-over-year were primarily due to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as a result of changes in the rate environment.</w:t>
      </w:r>
    </w:p>
    <w:p>
      <w:pPr>
        <w:ind w:left="868" w:hanging="220"/>
        <w:spacing w:after="0" w:line="243" w:lineRule="auto"/>
        <w:tabs>
          <w:tab w:leader="none" w:pos="865" w:val="left"/>
        </w:tabs>
        <w:numPr>
          <w:ilvl w:val="1"/>
          <w:numId w:val="13"/>
        </w:numPr>
        <w:rPr>
          <w:rFonts w:ascii="Arial" w:cs="Arial" w:eastAsia="Arial" w:hAnsi="Arial"/>
          <w:sz w:val="12"/>
          <w:szCs w:val="12"/>
          <w:color w:val="auto"/>
        </w:rPr>
      </w:pPr>
      <w:r>
        <w:rPr>
          <w:rFonts w:ascii="Arial" w:cs="Arial" w:eastAsia="Arial" w:hAnsi="Arial"/>
          <w:sz w:val="12"/>
          <w:szCs w:val="12"/>
          <w:color w:val="auto"/>
        </w:rPr>
        <w:t>The Core Loan Yield</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6.93% for 1Q 2026 decreased 2 bps compared to 4Q 2025, and decreased 21 bps year-over-year. The decrease year-over-year was primarily a result of changes in the rate environment.</w:t>
      </w:r>
    </w:p>
    <w:p>
      <w:pPr>
        <w:spacing w:after="0" w:line="55" w:lineRule="exact"/>
        <w:rPr>
          <w:rFonts w:ascii="Arial" w:cs="Arial" w:eastAsia="Arial" w:hAnsi="Arial"/>
          <w:sz w:val="12"/>
          <w:szCs w:val="12"/>
          <w:color w:val="auto"/>
        </w:rPr>
      </w:pPr>
    </w:p>
    <w:p>
      <w:pPr>
        <w:ind w:left="428" w:right="20" w:hanging="212"/>
        <w:spacing w:after="0" w:line="301" w:lineRule="auto"/>
        <w:tabs>
          <w:tab w:leader="none" w:pos="425"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total cost of deposits of 2.34% for 1Q 2026 decreased 2 bps compared to the prior quarter and decreased 8 bps year-over-year. The decrease year-over-year was primarily a result of a shift in the product mix of the portfolio, and changes in the rate environment.</w:t>
      </w:r>
    </w:p>
    <w:p>
      <w:pPr>
        <w:spacing w:after="0" w:line="58" w:lineRule="exact"/>
        <w:rPr>
          <w:rFonts w:ascii="Arial" w:cs="Arial" w:eastAsia="Arial" w:hAnsi="Arial"/>
          <w:sz w:val="12"/>
          <w:szCs w:val="12"/>
          <w:color w:val="auto"/>
        </w:rPr>
      </w:pPr>
    </w:p>
    <w:p>
      <w:pPr>
        <w:ind w:left="428" w:hanging="212"/>
        <w:spacing w:after="0" w:line="317" w:lineRule="auto"/>
        <w:tabs>
          <w:tab w:leader="none" w:pos="425"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total cost of interest-bearing deposits of 3.17% for 1Q 2026 decreased 11 bps quarter-over-quarter, and decreased 20 bps year-over-year. The decreases quarter-over-quarter and year-over-year were due to a shift in product mix as well as changes in the rate environment.</w:t>
      </w:r>
    </w:p>
    <w:p>
      <w:pPr>
        <w:spacing w:after="0" w:line="48" w:lineRule="exact"/>
        <w:rPr>
          <w:rFonts w:ascii="Arial" w:cs="Arial" w:eastAsia="Arial" w:hAnsi="Arial"/>
          <w:sz w:val="12"/>
          <w:szCs w:val="12"/>
          <w:color w:val="auto"/>
        </w:rPr>
      </w:pPr>
    </w:p>
    <w:p>
      <w:pPr>
        <w:ind w:left="428" w:right="20" w:hanging="212"/>
        <w:spacing w:after="0" w:line="243" w:lineRule="auto"/>
        <w:tabs>
          <w:tab w:leader="none" w:pos="425" w:val="left"/>
        </w:tabs>
        <w:numPr>
          <w:ilvl w:val="0"/>
          <w:numId w:val="13"/>
        </w:numPr>
        <w:rPr>
          <w:rFonts w:ascii="Arial" w:cs="Arial" w:eastAsia="Arial" w:hAnsi="Arial"/>
          <w:sz w:val="12"/>
          <w:szCs w:val="12"/>
          <w:color w:val="auto"/>
        </w:rPr>
      </w:pPr>
      <w:r>
        <w:rPr>
          <w:rFonts w:ascii="Arial" w:cs="Arial" w:eastAsia="Arial" w:hAnsi="Arial"/>
          <w:sz w:val="12"/>
          <w:szCs w:val="12"/>
          <w:color w:val="auto"/>
        </w:rPr>
        <w:t>Net PAA of $0.4 million, or 5 bps of NIM and 5 bps of Core NIM</w:t>
      </w:r>
      <w:r>
        <w:rPr>
          <w:rFonts w:ascii="Arial" w:cs="Arial" w:eastAsia="Arial" w:hAnsi="Arial"/>
          <w:sz w:val="15"/>
          <w:szCs w:val="15"/>
          <w:color w:val="auto"/>
          <w:vertAlign w:val="superscript"/>
        </w:rPr>
        <w:t>(1)</w:t>
      </w:r>
      <w:r>
        <w:rPr>
          <w:rFonts w:ascii="Arial" w:cs="Arial" w:eastAsia="Arial" w:hAnsi="Arial"/>
          <w:sz w:val="12"/>
          <w:szCs w:val="12"/>
          <w:color w:val="auto"/>
        </w:rPr>
        <w:t>, during 1Q 2026, increased $0.2 million from 4Q 2025 mainly due to a loan payoff during the quarter. There was $1.4 million from net PAA during 1Q 2025.</w:t>
      </w:r>
    </w:p>
    <w:p>
      <w:pPr>
        <w:spacing w:after="0" w:line="3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Credit Metrics and Asset Quality:</w:t>
      </w:r>
    </w:p>
    <w:p>
      <w:pPr>
        <w:spacing w:after="0" w:line="105" w:lineRule="exact"/>
        <w:rPr>
          <w:sz w:val="20"/>
          <w:szCs w:val="20"/>
          <w:color w:val="auto"/>
        </w:rPr>
      </w:pPr>
    </w:p>
    <w:p>
      <w:pPr>
        <w:jc w:val="both"/>
        <w:ind w:left="8"/>
        <w:spacing w:after="0" w:line="277" w:lineRule="auto"/>
        <w:rPr>
          <w:sz w:val="20"/>
          <w:szCs w:val="20"/>
          <w:color w:val="auto"/>
        </w:rPr>
      </w:pPr>
      <w:r>
        <w:rPr>
          <w:rFonts w:ascii="Arial" w:cs="Arial" w:eastAsia="Arial" w:hAnsi="Arial"/>
          <w:sz w:val="12"/>
          <w:szCs w:val="12"/>
          <w:color w:val="auto"/>
        </w:rPr>
        <w:t>Nonperforming assets were $59.3 million or 1.56% of total assets at March 31, 2026, an increase of $1.0 million but a decrease of 6 bps compared to December 31, 2025. The increase in nonperforming assets from 4Q 2025 was primarily driven by a $0.8 million increase from the legacy CBNK portfolio and a $0.2 million increase from the acquired IFH portfolio. Nonperforming assets increased $16.3 million or 28 bps year-over-year, mainly due to the $15.9 million increase during 3Q 2025 from two loan relationships acquired as part of the IFH transaction. At March 31, 2026, substandard loans totaled $71.8 million, or 2.4% of total portfolio loans, compared to $58.5 million, or 2.0% of total portfolio loans, at December 31, 2025 and $45.7 million, or 1.7% of total portfolio loans, at March 31, 2025. The increase from December 31, 2025 of $13.3 million was primarily driven by one legacy bank loan relationship, with three loans accounting for $9.7 million of the increase quarter-over-quarter. The $26.1 million year-over-year increase in substandard loans was primarily driven by $15.9 million from the two loan relationships acquired as part of the IFH transaction, and the one legacy bank relationship accounting for $9.7 million. At March 31, 2026, special mention loans totaled $60.3 million, or 2.0% of total portfolio loans, compared to $57.9 million, or 2.0% of total portfolio loans, at December 31, 2025, and $63.0 million, or 2.4% of total portfolio loans, at March 31, 2025.</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Efficiency Ratio:</w:t>
      </w:r>
    </w:p>
    <w:p>
      <w:pPr>
        <w:spacing w:after="0" w:line="113" w:lineRule="exact"/>
        <w:rPr>
          <w:sz w:val="20"/>
          <w:szCs w:val="20"/>
          <w:color w:val="auto"/>
        </w:rPr>
      </w:pPr>
    </w:p>
    <w:p>
      <w:pPr>
        <w:jc w:val="both"/>
        <w:ind w:left="8"/>
        <w:spacing w:after="0" w:line="243" w:lineRule="auto"/>
        <w:rPr>
          <w:sz w:val="20"/>
          <w:szCs w:val="20"/>
          <w:color w:val="auto"/>
        </w:rPr>
      </w:pPr>
      <w:r>
        <w:rPr>
          <w:rFonts w:ascii="Arial" w:cs="Arial" w:eastAsia="Arial" w:hAnsi="Arial"/>
          <w:sz w:val="12"/>
          <w:szCs w:val="12"/>
          <w:color w:val="auto"/>
        </w:rPr>
        <w:t>The efficiency ratio was 69.6% for 1Q 2026, compared to 62.3% for 4Q 2025 and 64.9% for 1Q 2025. The core efficiency ratio</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69.6% for 1Q 2026, which increased from 62.3% compared to the prior quarter, and increased from 62.8% for 1Q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1430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66" w:lineRule="exact"/>
        <w:rPr>
          <w:sz w:val="20"/>
          <w:szCs w:val="20"/>
          <w:color w:val="auto"/>
        </w:rPr>
      </w:pPr>
    </w:p>
    <w:p>
      <w:pPr>
        <w:ind w:left="8" w:right="140" w:hanging="8"/>
        <w:spacing w:after="0" w:line="227" w:lineRule="auto"/>
        <w:tabs>
          <w:tab w:leader="none" w:pos="52" w:val="left"/>
        </w:tabs>
        <w:numPr>
          <w:ilvl w:val="0"/>
          <w:numId w:val="14"/>
        </w:numPr>
        <w:rPr>
          <w:rFonts w:ascii="Arial" w:cs="Arial" w:eastAsia="Arial" w:hAnsi="Arial"/>
          <w:sz w:val="9"/>
          <w:szCs w:val="9"/>
          <w:color w:val="auto"/>
          <w:vertAlign w:val="superscript"/>
        </w:rPr>
      </w:pPr>
      <w:r>
        <w:rPr>
          <w:rFonts w:ascii="Arial" w:cs="Arial" w:eastAsia="Arial" w:hAnsi="Arial"/>
          <w:sz w:val="7"/>
          <w:szCs w:val="7"/>
          <w:color w:val="auto"/>
        </w:rPr>
        <w:t>As used in this press release, Core NIM, Core Loan Yield, and Core efficiency ratio are non-GAAP financial measures. These non-GAAP financial metrics exclude the impact of merger-related expenses and certain other pre-tax adjustments which are not indicative of operating performance and the tax impacts of such adjustments. Reconciliations of these and other non–GAAP measures to their comparable GAAP measures are set forth in the Appendix at the end of this press release.</w:t>
      </w:r>
    </w:p>
    <w:p>
      <w:pPr>
        <w:spacing w:after="0" w:line="3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8"/>
          </w:cols>
          <w:pgMar w:left="292" w:top="56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b w:val="1"/>
          <w:bCs w:val="1"/>
          <w:u w:val="single" w:color="auto"/>
          <w:color w:val="auto"/>
        </w:rPr>
        <w:t>Financial Metrics (Continued)</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Returns: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color w:val="auto"/>
        </w:rPr>
        <w:t>ROA was 1.33% for 1Q 2026, compared to 1.71% for 4Q 2025, and 1.75% for 1Q 2025. Core ROA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for 1Q 2026 was 1.33%, compared to 1.71% for 4Q 2025, and 1.87% for 1Q 2025.</w:t>
      </w:r>
    </w:p>
    <w:p>
      <w:pPr>
        <w:spacing w:after="0" w:line="80" w:lineRule="exact"/>
        <w:rPr>
          <w:sz w:val="20"/>
          <w:szCs w:val="20"/>
          <w:color w:val="auto"/>
        </w:rPr>
      </w:pPr>
    </w:p>
    <w:p>
      <w:pPr>
        <w:ind w:left="428" w:hanging="212"/>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ROE was 12.03% for 1Q 2026, compared to 15.23% for 4Q 2025, and 15.56% for 1Q 2025. Core ROE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12.03% for 1Q 2026, compared to 15.23% for 4Q 2025, and 16.64% for 1Q 2025.</w:t>
      </w:r>
    </w:p>
    <w:p>
      <w:pPr>
        <w:spacing w:after="0" w:line="79" w:lineRule="exact"/>
        <w:rPr>
          <w:rFonts w:ascii="Arial" w:cs="Arial" w:eastAsia="Arial" w:hAnsi="Arial"/>
          <w:sz w:val="12"/>
          <w:szCs w:val="12"/>
          <w:color w:val="auto"/>
        </w:rPr>
      </w:pPr>
    </w:p>
    <w:p>
      <w:pPr>
        <w:ind w:left="428" w:hanging="212"/>
        <w:spacing w:after="0"/>
        <w:tabs>
          <w:tab w:leader="none" w:pos="428" w:val="left"/>
        </w:tabs>
        <w:numPr>
          <w:ilvl w:val="0"/>
          <w:numId w:val="15"/>
        </w:numPr>
        <w:rPr>
          <w:rFonts w:ascii="Arial" w:cs="Arial" w:eastAsia="Arial" w:hAnsi="Arial"/>
          <w:sz w:val="12"/>
          <w:szCs w:val="12"/>
          <w:b w:val="1"/>
          <w:bCs w:val="1"/>
          <w:color w:val="auto"/>
        </w:rPr>
      </w:pPr>
      <w:r>
        <w:rPr>
          <w:rFonts w:ascii="Arial" w:cs="Arial" w:eastAsia="Arial" w:hAnsi="Arial"/>
          <w:sz w:val="12"/>
          <w:szCs w:val="12"/>
          <w:color w:val="auto"/>
        </w:rPr>
        <w:t>ROTCE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13.58% for 1Q 2026, compared to 17.23% for 4Q 2025, and 17.57% for 1Q 2025. Core ROTCE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for 1Q 2026 was 13.58%, compared to 17.23% for 4Q 2025, and 18.77% for 1Q 2025.</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Book Value:</w:t>
      </w:r>
    </w:p>
    <w:p>
      <w:pPr>
        <w:spacing w:after="0" w:line="114" w:lineRule="exact"/>
        <w:rPr>
          <w:sz w:val="20"/>
          <w:szCs w:val="20"/>
          <w:color w:val="auto"/>
        </w:rPr>
      </w:pPr>
    </w:p>
    <w:p>
      <w:pPr>
        <w:ind w:left="8"/>
        <w:spacing w:after="0" w:line="319" w:lineRule="auto"/>
        <w:rPr>
          <w:sz w:val="20"/>
          <w:szCs w:val="20"/>
          <w:color w:val="auto"/>
        </w:rPr>
      </w:pPr>
      <w:r>
        <w:rPr>
          <w:rFonts w:ascii="Arial" w:cs="Arial" w:eastAsia="Arial" w:hAnsi="Arial"/>
          <w:sz w:val="12"/>
          <w:szCs w:val="12"/>
          <w:color w:val="auto"/>
        </w:rPr>
        <w:t>Book value per common share of $25.10 at March 31, 2026, increased $0.57 when compared to December 31, 2025, and increased $2.91 when compared to March 31, 2025. Tangible book value per common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$0.57, or 2.6% (not annualized), to $22.62 at March 31, 2026 when compared to December 31, 2025, and increased $2.81, or 14.2%, when compared to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11430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28" w:lineRule="exact"/>
        <w:rPr>
          <w:sz w:val="20"/>
          <w:szCs w:val="20"/>
          <w:color w:val="auto"/>
        </w:rPr>
      </w:pPr>
    </w:p>
    <w:p>
      <w:pPr>
        <w:ind w:left="8" w:right="120" w:hanging="8"/>
        <w:spacing w:after="0" w:line="227" w:lineRule="auto"/>
        <w:tabs>
          <w:tab w:leader="none" w:pos="49" w:val="left"/>
        </w:tabs>
        <w:numPr>
          <w:ilvl w:val="0"/>
          <w:numId w:val="16"/>
        </w:numPr>
        <w:rPr>
          <w:rFonts w:ascii="Times New Roman" w:cs="Times New Roman" w:eastAsia="Times New Roman" w:hAnsi="Times New Roman"/>
          <w:sz w:val="9"/>
          <w:szCs w:val="9"/>
          <w:color w:val="auto"/>
          <w:vertAlign w:val="superscript"/>
        </w:rPr>
      </w:pPr>
      <w:r>
        <w:rPr>
          <w:rFonts w:ascii="Arial" w:cs="Arial" w:eastAsia="Arial" w:hAnsi="Arial"/>
          <w:sz w:val="7"/>
          <w:szCs w:val="7"/>
          <w:color w:val="auto"/>
        </w:rPr>
        <w:t>As used in this press release, Core ROA, Core ROE, ROTCE, Core ROTCE, and Tangible Book Value are non-GAAP financial measures. These non-GAAP financial metrics exclude the impact of merger-related expenses and certain other pre-tax adjustments which are not indicative of operating performance and the tax impacts of such adjustments. Reconciliations of these and other non–GAAP measures to their comparable GAAP measures are set forth in the Appendix at the end of this press release.</w:t>
      </w:r>
    </w:p>
    <w:p>
      <w:pPr>
        <w:spacing w:after="0" w:line="3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8"/>
          </w:cols>
          <w:pgMar w:left="292" w:top="568"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b w:val="1"/>
          <w:bCs w:val="1"/>
          <w:u w:val="single" w:color="auto"/>
          <w:color w:val="auto"/>
        </w:rPr>
        <w:t>Reportable Segments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Commercial Bank</w:t>
      </w:r>
    </w:p>
    <w:p>
      <w:pPr>
        <w:spacing w:after="0" w:line="113"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b w:val="1"/>
          <w:bCs w:val="1"/>
          <w:color w:val="auto"/>
        </w:rPr>
        <w:t xml:space="preserve">Loan Growth – </w:t>
      </w:r>
      <w:r>
        <w:rPr>
          <w:rFonts w:ascii="Arial" w:cs="Arial" w:eastAsia="Arial" w:hAnsi="Arial"/>
          <w:sz w:val="12"/>
          <w:szCs w:val="12"/>
          <w:color w:val="auto"/>
        </w:rPr>
        <w:t>Portfolio loans</w:t>
      </w:r>
      <w:r>
        <w:rPr>
          <w:rFonts w:ascii="Arial" w:cs="Arial" w:eastAsia="Arial" w:hAnsi="Arial"/>
          <w:sz w:val="15"/>
          <w:szCs w:val="15"/>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increased $73.0 million at March 31, 2026 compared to December 31, 2025, driven by $32.3 million from C&amp;I, $29.7 million from residential real estate, and $6.1 million from</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construction real estate. Portfolio loans increased $330.6 million at March 31, 2026 compared to March 31, 2025, driven by $136.2 million from C&amp;I, $101.9 million from residential real estate, and $46.1 million from CRE. Historical gross portfolio loan balances are disclosed in the </w:t>
      </w:r>
      <w:r>
        <w:rPr>
          <w:rFonts w:ascii="Arial" w:cs="Arial" w:eastAsia="Arial" w:hAnsi="Arial"/>
          <w:sz w:val="12"/>
          <w:szCs w:val="12"/>
          <w:i w:val="1"/>
          <w:iCs w:val="1"/>
          <w:color w:val="auto"/>
        </w:rPr>
        <w:t>Composition of Loans</w:t>
      </w:r>
      <w:r>
        <w:rPr>
          <w:rFonts w:ascii="Arial" w:cs="Arial" w:eastAsia="Arial" w:hAnsi="Arial"/>
          <w:sz w:val="12"/>
          <w:szCs w:val="12"/>
          <w:color w:val="auto"/>
        </w:rPr>
        <w:t xml:space="preserve"> table within the </w:t>
      </w:r>
      <w:r>
        <w:rPr>
          <w:rFonts w:ascii="Arial" w:cs="Arial" w:eastAsia="Arial" w:hAnsi="Arial"/>
          <w:sz w:val="12"/>
          <w:szCs w:val="12"/>
          <w:i w:val="1"/>
          <w:iCs w:val="1"/>
          <w:color w:val="auto"/>
        </w:rPr>
        <w:t>Historical Financial Highlights.</w:t>
      </w:r>
    </w:p>
    <w:p>
      <w:pPr>
        <w:spacing w:after="0" w:line="82"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b w:val="1"/>
          <w:bCs w:val="1"/>
          <w:color w:val="auto"/>
        </w:rPr>
        <w:t xml:space="preserve">Net Interest Income – </w:t>
      </w:r>
      <w:r>
        <w:rPr>
          <w:rFonts w:ascii="Arial" w:cs="Arial" w:eastAsia="Arial" w:hAnsi="Arial"/>
          <w:sz w:val="12"/>
          <w:szCs w:val="12"/>
          <w:color w:val="auto"/>
        </w:rPr>
        <w:t>Interest income of $52.7 million increased $0.7 million from the prior quarter, $0.5 million of which was due to growth in the Commercial Bank loan portfolio and $0.2 million of which was from</w:t>
      </w:r>
      <w:r>
        <w:rPr>
          <w:rFonts w:ascii="Arial" w:cs="Arial" w:eastAsia="Arial" w:hAnsi="Arial"/>
          <w:sz w:val="12"/>
          <w:szCs w:val="12"/>
          <w:b w:val="1"/>
          <w:bCs w:val="1"/>
          <w:color w:val="auto"/>
        </w:rPr>
        <w:t xml:space="preserve"> </w:t>
      </w:r>
      <w:r>
        <w:rPr>
          <w:rFonts w:ascii="Arial" w:cs="Arial" w:eastAsia="Arial" w:hAnsi="Arial"/>
          <w:sz w:val="12"/>
          <w:szCs w:val="12"/>
          <w:color w:val="auto"/>
        </w:rPr>
        <w:t>higher loan PAA. Interest expense of $18.5 million increased $0.2 million, primarily due to a mix shift in the deposit portfolio.</w:t>
      </w:r>
    </w:p>
    <w:p>
      <w:pPr>
        <w:spacing w:after="0" w:line="59"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b w:val="1"/>
          <w:bCs w:val="1"/>
          <w:color w:val="auto"/>
        </w:rPr>
        <w:t xml:space="preserve">Credit Metrics – </w:t>
      </w:r>
      <w:r>
        <w:rPr>
          <w:rFonts w:ascii="Arial" w:cs="Arial" w:eastAsia="Arial" w:hAnsi="Arial"/>
          <w:sz w:val="12"/>
          <w:szCs w:val="12"/>
          <w:color w:val="auto"/>
        </w:rPr>
        <w:t>Nonperforming assets decreased 7 bps to 1.64% of total assets at March 31, 2026 compared to December 31, 2025. Total nonaccrual loans at March 31, 2026 were $55.4 million, an increase of</w:t>
      </w:r>
      <w:r>
        <w:rPr>
          <w:rFonts w:ascii="Arial" w:cs="Arial" w:eastAsia="Arial" w:hAnsi="Arial"/>
          <w:sz w:val="12"/>
          <w:szCs w:val="12"/>
          <w:b w:val="1"/>
          <w:bCs w:val="1"/>
          <w:color w:val="auto"/>
        </w:rPr>
        <w:t xml:space="preserve"> </w:t>
      </w:r>
      <w:r>
        <w:rPr>
          <w:rFonts w:ascii="Arial" w:cs="Arial" w:eastAsia="Arial" w:hAnsi="Arial"/>
          <w:sz w:val="12"/>
          <w:szCs w:val="12"/>
          <w:color w:val="auto"/>
        </w:rPr>
        <w:t>$1.0 million or 1.8% compared to $54.4 million at December 31, 2025.</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Classified and Criticized Loans – </w:t>
      </w:r>
      <w:r>
        <w:rPr>
          <w:rFonts w:ascii="Arial" w:cs="Arial" w:eastAsia="Arial" w:hAnsi="Arial"/>
          <w:sz w:val="12"/>
          <w:szCs w:val="12"/>
          <w:color w:val="auto"/>
        </w:rPr>
        <w:t>At March 31, 2026, special mention loans totaled $60.3 million, or 2.0% of total portfolio loans, compared to $57.9 million, or 2.0% of total portfolio loans, at December 31, 2025.</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2026, substandard loans totaled $71.8 million, or 2.4% of total portfolio loans, compared to $58.5 million, or 2.0% of total portfolio loans, at December 31, 2025.</w:t>
      </w:r>
    </w:p>
    <w:p>
      <w:pPr>
        <w:spacing w:after="0" w:line="363"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OpenSky</w:t>
      </w:r>
      <w:r>
        <w:rPr>
          <w:rFonts w:ascii="Arial" w:cs="Arial" w:eastAsia="Arial" w:hAnsi="Arial"/>
          <w:sz w:val="15"/>
          <w:szCs w:val="15"/>
          <w:color w:val="auto"/>
          <w:vertAlign w:val="superscript"/>
        </w:rPr>
        <w:t>™</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Accounts – </w:t>
      </w:r>
      <w:r>
        <w:rPr>
          <w:rFonts w:ascii="Arial" w:cs="Arial" w:eastAsia="Arial" w:hAnsi="Arial"/>
          <w:sz w:val="12"/>
          <w:szCs w:val="12"/>
          <w:color w:val="auto"/>
        </w:rPr>
        <w:t>During 1Q 2026, credit card accounts grew to 588.2 thousand, increasing 2.7 thousand, or 0.5% (not annualized) from December 31, 2025, and increasing 24.5 thousand, or 4.3% year-over-year.</w:t>
      </w:r>
    </w:p>
    <w:p>
      <w:pPr>
        <w:spacing w:after="0" w:line="114" w:lineRule="exact"/>
        <w:rPr>
          <w:sz w:val="20"/>
          <w:szCs w:val="20"/>
          <w:color w:val="auto"/>
        </w:rPr>
      </w:pPr>
    </w:p>
    <w:p>
      <w:pPr>
        <w:jc w:val="both"/>
        <w:ind w:left="8"/>
        <w:spacing w:after="0" w:line="278" w:lineRule="auto"/>
        <w:rPr>
          <w:sz w:val="20"/>
          <w:szCs w:val="20"/>
          <w:color w:val="auto"/>
        </w:rPr>
      </w:pPr>
      <w:r>
        <w:rPr>
          <w:rFonts w:ascii="Arial" w:cs="Arial" w:eastAsia="Arial" w:hAnsi="Arial"/>
          <w:sz w:val="12"/>
          <w:szCs w:val="12"/>
          <w:b w:val="1"/>
          <w:bCs w:val="1"/>
          <w:color w:val="auto"/>
        </w:rPr>
        <w:t xml:space="preserve">Loan and Deposit Balances – </w:t>
      </w:r>
      <w:r>
        <w:rPr>
          <w:rFonts w:ascii="Arial" w:cs="Arial" w:eastAsia="Arial" w:hAnsi="Arial"/>
          <w:sz w:val="12"/>
          <w:szCs w:val="12"/>
          <w:color w:val="auto"/>
        </w:rPr>
        <w:t>Secured and unsecured loan balances, net of reserves for interest and fees, of $134.8 million at March 31, 2026 decreased by $7.6 million, or 5.3% (not annualized), compared to</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2025 and increased $16.1 million, or 13.5%, year-over-year. Deposit balances of $165.5 million at March 31, 2026 increased $2.3 million compared to December 31, 2025 and decreased $3.3 million, or 1.9% year-over-year. Gross unsecured loan balances of $46.6 million at March 31, 2026 decreased $0.6 million, or 1.2% (not annualized), compared to $47.1 million at December 31, 2025, and increased $19.9 million year-over-year. Gross secured loan balances of $90.0 million at March 31, 2026 decreased $7.3 million, or 7.5% (not annualized), compared to $97.3 million at December 31, 2025, and decreased $3.5 million, or 3.8% (not annualized) year-over-year.</w:t>
      </w:r>
    </w:p>
    <w:p>
      <w:pPr>
        <w:spacing w:after="0" w:line="74"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b w:val="1"/>
          <w:bCs w:val="1"/>
          <w:color w:val="auto"/>
        </w:rPr>
        <w:t xml:space="preserve">Net Interest Income – </w:t>
      </w:r>
      <w:r>
        <w:rPr>
          <w:rFonts w:ascii="Arial" w:cs="Arial" w:eastAsia="Arial" w:hAnsi="Arial"/>
          <w:sz w:val="12"/>
          <w:szCs w:val="12"/>
          <w:color w:val="auto"/>
        </w:rPr>
        <w:t>Interest income of $15.1 million decreased $1.3 million compared to 4Q 2025. Average OpenSky</w:t>
      </w:r>
      <w:r>
        <w:rPr>
          <w:rFonts w:ascii="Arial" w:cs="Arial" w:eastAsia="Arial" w:hAnsi="Arial"/>
          <w:sz w:val="15"/>
          <w:szCs w:val="15"/>
          <w:color w:val="auto"/>
          <w:vertAlign w:val="super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credit card loan balances, net of reserves and deferred fees of $133.7 million for 1Q 2026,</w:t>
      </w:r>
      <w:r>
        <w:rPr>
          <w:rFonts w:ascii="Arial" w:cs="Arial" w:eastAsia="Arial" w:hAnsi="Arial"/>
          <w:sz w:val="12"/>
          <w:szCs w:val="12"/>
          <w:b w:val="1"/>
          <w:bCs w:val="1"/>
          <w:color w:val="auto"/>
        </w:rPr>
        <w:t xml:space="preserve"> </w:t>
      </w:r>
      <w:r>
        <w:rPr>
          <w:rFonts w:ascii="Arial" w:cs="Arial" w:eastAsia="Arial" w:hAnsi="Arial"/>
          <w:sz w:val="12"/>
          <w:szCs w:val="12"/>
          <w:color w:val="auto"/>
        </w:rPr>
        <w:t>decreased $0.1 million, or 0.1% (not annualized), compared to 4Q 2025.</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Fee Revenue – </w:t>
      </w:r>
      <w:r>
        <w:rPr>
          <w:rFonts w:ascii="Arial" w:cs="Arial" w:eastAsia="Arial" w:hAnsi="Arial"/>
          <w:sz w:val="12"/>
          <w:szCs w:val="12"/>
          <w:color w:val="auto"/>
        </w:rPr>
        <w:t>Total fee revenue of $4.7 million decreased $0.1 million from the prior quarter primarily driven by lower interchange and other credit-card related fees.</w:t>
      </w:r>
    </w:p>
    <w:p>
      <w:pPr>
        <w:spacing w:after="0" w:line="114" w:lineRule="exact"/>
        <w:rPr>
          <w:sz w:val="20"/>
          <w:szCs w:val="20"/>
          <w:color w:val="auto"/>
        </w:rPr>
      </w:pPr>
    </w:p>
    <w:p>
      <w:pPr>
        <w:jc w:val="both"/>
        <w:ind w:left="8"/>
        <w:spacing w:after="0" w:line="306" w:lineRule="auto"/>
        <w:rPr>
          <w:sz w:val="20"/>
          <w:szCs w:val="20"/>
          <w:color w:val="auto"/>
        </w:rPr>
      </w:pPr>
      <w:r>
        <w:rPr>
          <w:rFonts w:ascii="Arial" w:cs="Arial" w:eastAsia="Arial" w:hAnsi="Arial"/>
          <w:sz w:val="12"/>
          <w:szCs w:val="12"/>
          <w:b w:val="1"/>
          <w:bCs w:val="1"/>
          <w:color w:val="auto"/>
        </w:rPr>
        <w:t xml:space="preserve">Noninterest Expense – </w:t>
      </w:r>
      <w:r>
        <w:rPr>
          <w:rFonts w:ascii="Arial" w:cs="Arial" w:eastAsia="Arial" w:hAnsi="Arial"/>
          <w:sz w:val="12"/>
          <w:szCs w:val="12"/>
          <w:color w:val="auto"/>
        </w:rPr>
        <w:t>Total noninterest expense of $16.2 million increased $1.6 million compared to 4Q 2025, driven by professional fees associated with the legacy and unsecured products, investment in</w:t>
      </w:r>
      <w:r>
        <w:rPr>
          <w:rFonts w:ascii="Arial" w:cs="Arial" w:eastAsia="Arial" w:hAnsi="Arial"/>
          <w:sz w:val="12"/>
          <w:szCs w:val="12"/>
          <w:b w:val="1"/>
          <w:bCs w:val="1"/>
          <w:color w:val="auto"/>
        </w:rPr>
        <w:t xml:space="preserve"> </w:t>
      </w:r>
      <w:r>
        <w:rPr>
          <w:rFonts w:ascii="Arial" w:cs="Arial" w:eastAsia="Arial" w:hAnsi="Arial"/>
          <w:sz w:val="12"/>
          <w:szCs w:val="12"/>
          <w:color w:val="auto"/>
        </w:rPr>
        <w:t>headcount for initiatives, the acceleration of depreciation of capitalized assets related to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technology, and data processing costs.</w:t>
      </w:r>
    </w:p>
    <w:p>
      <w:pPr>
        <w:spacing w:after="0" w:line="6" w:lineRule="exact"/>
        <w:rPr>
          <w:sz w:val="20"/>
          <w:szCs w:val="20"/>
          <w:color w:val="auto"/>
        </w:rPr>
      </w:pPr>
    </w:p>
    <w:p>
      <w:pPr>
        <w:jc w:val="both"/>
        <w:ind w:left="8"/>
        <w:spacing w:after="0" w:line="250" w:lineRule="auto"/>
        <w:rPr>
          <w:sz w:val="20"/>
          <w:szCs w:val="20"/>
          <w:color w:val="auto"/>
        </w:rPr>
      </w:pPr>
      <w:r>
        <w:rPr>
          <w:rFonts w:ascii="Arial" w:cs="Arial" w:eastAsia="Arial" w:hAnsi="Arial"/>
          <w:sz w:val="12"/>
          <w:szCs w:val="12"/>
          <w:b w:val="1"/>
          <w:bCs w:val="1"/>
          <w:color w:val="auto"/>
        </w:rPr>
        <w:t>OpenSky</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Credit – </w:t>
      </w:r>
      <w:r>
        <w:rPr>
          <w:rFonts w:ascii="Arial" w:cs="Arial" w:eastAsia="Arial" w:hAnsi="Arial"/>
          <w:sz w:val="12"/>
          <w:szCs w:val="12"/>
          <w:color w:val="auto"/>
        </w:rPr>
        <w:t>Portfolio credit metrics continued to be consistent with modeled expectations during 1Q 2026. The provision for credit losses of $2.7 million increased $1.4 million when compared to the prior</w:t>
      </w:r>
      <w:r>
        <w:rPr>
          <w:rFonts w:ascii="Arial" w:cs="Arial" w:eastAsia="Arial" w:hAnsi="Arial"/>
          <w:sz w:val="12"/>
          <w:szCs w:val="12"/>
          <w:b w:val="1"/>
          <w:bCs w:val="1"/>
          <w:color w:val="auto"/>
        </w:rPr>
        <w:t xml:space="preserve"> </w:t>
      </w:r>
      <w:r>
        <w:rPr>
          <w:rFonts w:ascii="Arial" w:cs="Arial" w:eastAsia="Arial" w:hAnsi="Arial"/>
          <w:sz w:val="12"/>
          <w:szCs w:val="12"/>
          <w:color w:val="auto"/>
        </w:rPr>
        <w:t>quarter, primarily due to a $2.0 million credit in 4Q 2025 to the allowance for credit losses that was made to reflect the debt sale. Excluding this item in 4Q 2025, the provision for credit losses would have decreased $0.6 million primarily due to lower balances in the loan portfolio. OpenSky's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unsecured loan product is offered exclusively to current and former secured card customers. Unsecured loans have been offered by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since the fourth quarter of 2021 and have generally performed in alignment with management expectations over that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143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15" w:lineRule="exact"/>
        <w:rPr>
          <w:sz w:val="20"/>
          <w:szCs w:val="20"/>
          <w:color w:val="auto"/>
        </w:rPr>
      </w:pPr>
    </w:p>
    <w:p>
      <w:pPr>
        <w:ind w:left="68" w:hanging="68"/>
        <w:spacing w:after="0"/>
        <w:tabs>
          <w:tab w:leader="none" w:pos="68" w:val="left"/>
        </w:tabs>
        <w:numPr>
          <w:ilvl w:val="0"/>
          <w:numId w:val="17"/>
        </w:numPr>
        <w:rPr>
          <w:rFonts w:ascii="Arial" w:cs="Arial" w:eastAsia="Arial" w:hAnsi="Arial"/>
          <w:sz w:val="8"/>
          <w:szCs w:val="8"/>
          <w:color w:val="auto"/>
          <w:vertAlign w:val="superscript"/>
        </w:rPr>
      </w:pPr>
      <w:r>
        <w:rPr>
          <w:rFonts w:ascii="Arial" w:cs="Arial" w:eastAsia="Arial" w:hAnsi="Arial"/>
          <w:sz w:val="6"/>
          <w:szCs w:val="6"/>
          <w:color w:val="auto"/>
        </w:rPr>
        <w:t>Portfolio loans represents portfolio loans receivable excluding deferred origination fees, net.</w:t>
      </w: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8"/>
          </w:cols>
          <w:pgMar w:left="292" w:top="568"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u w:val="single" w:color="auto"/>
          <w:color w:val="auto"/>
        </w:rPr>
        <w:t>Capital Bank Home Loans</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Originations of loans held for sale totaled $72.9 million during 1Q 2026, with $52.4 million of mortgage loans sold resulting in a gain on sale of loans of $1.5 million, representing a 2.85% gain on sale as a percentage of total loans sold. Originations of loans held for sale totaled $107.3 million during 4Q 2025, with $83.0 million of mortgage loans sold resulting in a gain on sale of loans of $2.1 million, representing a 2.58% gain on sale as a percentage of total loans sold.</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Windsor Advantage</w:t>
      </w:r>
      <w:r>
        <w:rPr>
          <w:rFonts w:ascii="Arial" w:cs="Arial" w:eastAsia="Arial" w:hAnsi="Arial"/>
          <w:sz w:val="15"/>
          <w:szCs w:val="15"/>
          <w:b w:val="1"/>
          <w:bCs w:val="1"/>
          <w:color w:val="auto"/>
          <w:vertAlign w:val="superscript"/>
        </w:rPr>
        <w:t>™</w:t>
      </w:r>
    </w:p>
    <w:p>
      <w:pPr>
        <w:spacing w:after="0" w:line="80"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Gross government loan servicing revenue totaled $5.6 million, including $1.3 million of Capital Bank related servicing fees, during 1Q 2026. Gross government loan servicing revenue totaled $5.0 million, including $1.0 million of Capital Bank related servicing fees, during 4Q 2025. Windsor's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total servicing portfolio was $3.2 billion at March 31, 2026, and $3.1 billion at December 31, 2025.</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829" w:right="299" w:bottom="1440" w:gutter="0" w:footer="0" w:header="0"/>
        </w:sectPr>
      </w:pPr>
    </w:p>
    <w:bookmarkStart w:id="12" w:name="page13"/>
    <w:bookmarkEnd w:id="12"/>
    <w:p>
      <w:pPr>
        <w:ind w:left="8"/>
        <w:spacing w:after="0"/>
        <w:rPr>
          <w:sz w:val="20"/>
          <w:szCs w:val="20"/>
          <w:color w:val="auto"/>
        </w:rPr>
      </w:pPr>
      <w:r>
        <w:rPr>
          <w:rFonts w:ascii="Arial" w:cs="Arial" w:eastAsia="Arial" w:hAnsi="Arial"/>
          <w:sz w:val="12"/>
          <w:szCs w:val="12"/>
          <w:b w:val="1"/>
          <w:bCs w:val="1"/>
          <w:u w:val="single" w:color="auto"/>
          <w:color w:val="auto"/>
        </w:rPr>
        <w:t>COMPARATIVE FINANCIAL HIGHLIGHTS - Unaudited</w:t>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4"/>
              </w:rPr>
              <w:t>Quarter Ended</w:t>
            </w: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0"/>
                <w:szCs w:val="10"/>
                <w:b w:val="1"/>
                <w:bCs w:val="1"/>
                <w:color w:val="auto"/>
              </w:rPr>
              <w:t>1Q26 vs 4Q25</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0"/>
                <w:szCs w:val="10"/>
                <w:b w:val="1"/>
                <w:bCs w:val="1"/>
                <w:color w:val="auto"/>
              </w:rPr>
              <w:t>1Q26 vs 1Q25</w:t>
            </w:r>
          </w:p>
        </w:tc>
        <w:tc>
          <w:tcPr>
            <w:tcW w:w="0" w:type="dxa"/>
            <w:vAlign w:val="bottom"/>
          </w:tcPr>
          <w:p>
            <w:pPr>
              <w:spacing w:after="0"/>
              <w:rPr>
                <w:sz w:val="1"/>
                <w:szCs w:val="1"/>
                <w:color w:val="auto"/>
              </w:rPr>
            </w:pPr>
          </w:p>
        </w:tc>
      </w:tr>
      <w:tr>
        <w:trPr>
          <w:trHeight w:val="123"/>
        </w:trPr>
        <w:tc>
          <w:tcPr>
            <w:tcW w:w="2740" w:type="dxa"/>
            <w:vAlign w:val="bottom"/>
          </w:tcPr>
          <w:p>
            <w:pPr>
              <w:spacing w:after="0"/>
              <w:rPr>
                <w:sz w:val="20"/>
                <w:szCs w:val="20"/>
                <w:color w:val="auto"/>
              </w:rPr>
            </w:pPr>
            <w:r>
              <w:rPr>
                <w:rFonts w:ascii="Arial" w:cs="Arial" w:eastAsia="Arial" w:hAnsi="Arial"/>
                <w:sz w:val="6"/>
                <w:szCs w:val="6"/>
                <w:color w:val="auto"/>
              </w:rPr>
              <w:t>(in thousands, except per share data)</w:t>
            </w:r>
          </w:p>
        </w:tc>
        <w:tc>
          <w:tcPr>
            <w:tcW w:w="200" w:type="dxa"/>
            <w:vAlign w:val="bottom"/>
          </w:tcPr>
          <w:p>
            <w:pPr>
              <w:spacing w:after="0"/>
              <w:rPr>
                <w:sz w:val="10"/>
                <w:szCs w:val="10"/>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0"/>
                <w:szCs w:val="1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December 31, 2025</w:t>
            </w:r>
          </w:p>
        </w:tc>
        <w:tc>
          <w:tcPr>
            <w:tcW w:w="200" w:type="dxa"/>
            <w:vAlign w:val="bottom"/>
          </w:tcPr>
          <w:p>
            <w:pPr>
              <w:spacing w:after="0"/>
              <w:rPr>
                <w:sz w:val="10"/>
                <w:szCs w:val="10"/>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2025</w:t>
            </w:r>
          </w:p>
        </w:tc>
        <w:tc>
          <w:tcPr>
            <w:tcW w:w="180" w:type="dxa"/>
            <w:vAlign w:val="bottom"/>
          </w:tcPr>
          <w:p>
            <w:pPr>
              <w:spacing w:after="0"/>
              <w:rPr>
                <w:sz w:val="10"/>
                <w:szCs w:val="10"/>
                <w:color w:val="auto"/>
              </w:rPr>
            </w:pPr>
          </w:p>
        </w:tc>
        <w:tc>
          <w:tcPr>
            <w:tcW w:w="860" w:type="dxa"/>
            <w:vAlign w:val="bottom"/>
            <w:gridSpan w:val="2"/>
          </w:tcPr>
          <w:p>
            <w:pPr>
              <w:ind w:left="100"/>
              <w:spacing w:after="0"/>
              <w:rPr>
                <w:sz w:val="20"/>
                <w:szCs w:val="20"/>
                <w:color w:val="auto"/>
              </w:rPr>
            </w:pPr>
            <w:r>
              <w:rPr>
                <w:rFonts w:ascii="Arial" w:cs="Arial" w:eastAsia="Arial" w:hAnsi="Arial"/>
                <w:sz w:val="10"/>
                <w:szCs w:val="10"/>
                <w:b w:val="1"/>
                <w:bCs w:val="1"/>
                <w:color w:val="auto"/>
              </w:rPr>
              <w:t>$ Change</w:t>
            </w:r>
          </w:p>
        </w:tc>
        <w:tc>
          <w:tcPr>
            <w:tcW w:w="1120" w:type="dxa"/>
            <w:vAlign w:val="bottom"/>
            <w:gridSpan w:val="2"/>
          </w:tcPr>
          <w:p>
            <w:pPr>
              <w:ind w:left="300"/>
              <w:spacing w:after="0"/>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10"/>
                <w:szCs w:val="10"/>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 Change</w:t>
            </w:r>
          </w:p>
        </w:tc>
        <w:tc>
          <w:tcPr>
            <w:tcW w:w="1040" w:type="dxa"/>
            <w:vAlign w:val="bottom"/>
          </w:tcPr>
          <w:p>
            <w:pPr>
              <w:jc w:val="right"/>
              <w:ind w:right="252"/>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16"/>
        </w:trPr>
        <w:tc>
          <w:tcPr>
            <w:tcW w:w="2740" w:type="dxa"/>
            <w:vAlign w:val="bottom"/>
          </w:tcPr>
          <w:p>
            <w:pPr>
              <w:spacing w:after="0"/>
              <w:rPr>
                <w:sz w:val="20"/>
                <w:szCs w:val="20"/>
                <w:color w:val="auto"/>
              </w:rPr>
            </w:pPr>
            <w:r>
              <w:rPr>
                <w:rFonts w:ascii="Arial" w:cs="Arial" w:eastAsia="Arial" w:hAnsi="Arial"/>
                <w:sz w:val="10"/>
                <w:szCs w:val="10"/>
                <w:b w:val="1"/>
                <w:bCs w:val="1"/>
                <w:color w:val="auto"/>
              </w:rPr>
              <w:t>Earnings Summary</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67,970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68,634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62,760</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(664)</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5,210</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8.3 %</w:t>
            </w:r>
          </w:p>
        </w:tc>
        <w:tc>
          <w:tcPr>
            <w:tcW w:w="0" w:type="dxa"/>
            <w:vAlign w:val="bottom"/>
          </w:tcPr>
          <w:p>
            <w:pPr>
              <w:spacing w:after="0"/>
              <w:rPr>
                <w:sz w:val="1"/>
                <w:szCs w:val="1"/>
                <w:color w:val="auto"/>
              </w:rPr>
            </w:pPr>
          </w:p>
        </w:tc>
      </w:tr>
      <w:tr>
        <w:trPr>
          <w:trHeight w:val="132"/>
        </w:trPr>
        <w:tc>
          <w:tcPr>
            <w:tcW w:w="27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Interest expense</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18,572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18,355</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16,713</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1.2 %</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1,859</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11.1 %</w:t>
            </w:r>
          </w:p>
        </w:tc>
        <w:tc>
          <w:tcPr>
            <w:tcW w:w="0" w:type="dxa"/>
            <w:vAlign w:val="bottom"/>
          </w:tcPr>
          <w:p>
            <w:pPr>
              <w:spacing w:after="0"/>
              <w:rPr>
                <w:sz w:val="1"/>
                <w:szCs w:val="1"/>
                <w:color w:val="auto"/>
              </w:rPr>
            </w:pPr>
          </w:p>
        </w:tc>
      </w:tr>
      <w:tr>
        <w:trPr>
          <w:trHeight w:val="127"/>
        </w:trPr>
        <w:tc>
          <w:tcPr>
            <w:tcW w:w="274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interest income</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49,398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50,279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46,047</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(881)</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3,351</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7.3 %</w:t>
            </w:r>
          </w:p>
        </w:tc>
        <w:tc>
          <w:tcPr>
            <w:tcW w:w="0" w:type="dxa"/>
            <w:vAlign w:val="bottom"/>
          </w:tcPr>
          <w:p>
            <w:pPr>
              <w:spacing w:after="0"/>
              <w:rPr>
                <w:sz w:val="1"/>
                <w:szCs w:val="1"/>
                <w:color w:val="auto"/>
              </w:rPr>
            </w:pPr>
          </w:p>
        </w:tc>
      </w:tr>
      <w:tr>
        <w:trPr>
          <w:trHeight w:val="132"/>
        </w:trPr>
        <w:tc>
          <w:tcPr>
            <w:tcW w:w="2740" w:type="dxa"/>
            <w:vAlign w:val="bottom"/>
          </w:tcPr>
          <w:p>
            <w:pPr>
              <w:spacing w:after="0"/>
              <w:rPr>
                <w:sz w:val="20"/>
                <w:szCs w:val="20"/>
                <w:color w:val="auto"/>
              </w:rPr>
            </w:pPr>
            <w:r>
              <w:rPr>
                <w:rFonts w:ascii="Arial" w:cs="Arial" w:eastAsia="Arial" w:hAnsi="Arial"/>
                <w:sz w:val="10"/>
                <w:szCs w:val="10"/>
                <w:color w:val="auto"/>
              </w:rPr>
              <w:t>Provision for credit losses</w:t>
            </w:r>
          </w:p>
        </w:tc>
        <w:tc>
          <w:tcPr>
            <w:tcW w:w="200" w:type="dxa"/>
            <w:vAlign w:val="bottom"/>
          </w:tcPr>
          <w:p>
            <w:pPr>
              <w:spacing w:after="0"/>
              <w:rPr>
                <w:sz w:val="11"/>
                <w:szCs w:val="11"/>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3,014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3,988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2,246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(974)</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768</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34.2 %</w:t>
            </w:r>
          </w:p>
        </w:tc>
        <w:tc>
          <w:tcPr>
            <w:tcW w:w="0" w:type="dxa"/>
            <w:vAlign w:val="bottom"/>
          </w:tcPr>
          <w:p>
            <w:pPr>
              <w:spacing w:after="0"/>
              <w:rPr>
                <w:sz w:val="1"/>
                <w:szCs w:val="1"/>
                <w:color w:val="auto"/>
              </w:rPr>
            </w:pPr>
          </w:p>
        </w:tc>
      </w:tr>
      <w:tr>
        <w:trPr>
          <w:trHeight w:val="102"/>
        </w:trPr>
        <w:tc>
          <w:tcPr>
            <w:tcW w:w="274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Provision for (release of) credit losses on unfunded</w:t>
            </w:r>
          </w:p>
        </w:tc>
        <w:tc>
          <w:tcPr>
            <w:tcW w:w="2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205</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234</w:t>
            </w:r>
          </w:p>
        </w:tc>
        <w:tc>
          <w:tcPr>
            <w:tcW w:w="80" w:type="dxa"/>
            <w:vAlign w:val="bottom"/>
            <w:shd w:val="clear" w:color="auto" w:fill="CCEEFF"/>
          </w:tcPr>
          <w:p>
            <w:pPr>
              <w:spacing w:after="0"/>
              <w:rPr>
                <w:sz w:val="8"/>
                <w:szCs w:val="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(806.9)%</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205</w:t>
            </w:r>
          </w:p>
        </w:tc>
        <w:tc>
          <w:tcPr>
            <w:tcW w:w="80" w:type="dxa"/>
            <w:vAlign w:val="bottom"/>
            <w:shd w:val="clear" w:color="auto" w:fill="CCEEFF"/>
          </w:tcPr>
          <w:p>
            <w:pPr>
              <w:spacing w:after="0"/>
              <w:rPr>
                <w:sz w:val="8"/>
                <w:szCs w:val="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commitments</w:t>
            </w:r>
          </w:p>
        </w:tc>
        <w:tc>
          <w:tcPr>
            <w:tcW w:w="20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740" w:type="dxa"/>
            <w:vAlign w:val="bottom"/>
          </w:tcPr>
          <w:p>
            <w:pPr>
              <w:spacing w:after="0"/>
              <w:rPr>
                <w:sz w:val="20"/>
                <w:szCs w:val="20"/>
                <w:color w:val="auto"/>
              </w:rPr>
            </w:pPr>
            <w:r>
              <w:rPr>
                <w:rFonts w:ascii="Arial" w:cs="Arial" w:eastAsia="Arial" w:hAnsi="Arial"/>
                <w:sz w:val="10"/>
                <w:szCs w:val="10"/>
                <w:color w:val="auto"/>
              </w:rPr>
              <w:t>Noninterest income</w:t>
            </w:r>
          </w:p>
        </w:tc>
        <w:tc>
          <w:tcPr>
            <w:tcW w:w="200" w:type="dxa"/>
            <w:vAlign w:val="bottom"/>
          </w:tcPr>
          <w:p>
            <w:pPr>
              <w:spacing w:after="0"/>
              <w:rPr>
                <w:sz w:val="11"/>
                <w:szCs w:val="11"/>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13,373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12,464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12,549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909</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824</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6.6 %</w:t>
            </w:r>
          </w:p>
        </w:tc>
        <w:tc>
          <w:tcPr>
            <w:tcW w:w="0" w:type="dxa"/>
            <w:vAlign w:val="bottom"/>
          </w:tcPr>
          <w:p>
            <w:pPr>
              <w:spacing w:after="0"/>
              <w:rPr>
                <w:sz w:val="1"/>
                <w:szCs w:val="1"/>
                <w:color w:val="auto"/>
              </w:rPr>
            </w:pPr>
          </w:p>
        </w:tc>
      </w:tr>
      <w:tr>
        <w:trPr>
          <w:trHeight w:val="138"/>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Noninterest expense</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43,681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39,103</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38,053</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4,578</w:t>
            </w:r>
          </w:p>
        </w:tc>
        <w:tc>
          <w:tcPr>
            <w:tcW w:w="8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11.7 %</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5,628</w:t>
            </w:r>
          </w:p>
        </w:tc>
        <w:tc>
          <w:tcPr>
            <w:tcW w:w="8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14.8 %</w:t>
            </w:r>
          </w:p>
        </w:tc>
        <w:tc>
          <w:tcPr>
            <w:tcW w:w="0" w:type="dxa"/>
            <w:vAlign w:val="bottom"/>
          </w:tcPr>
          <w:p>
            <w:pPr>
              <w:spacing w:after="0"/>
              <w:rPr>
                <w:sz w:val="1"/>
                <w:szCs w:val="1"/>
                <w:color w:val="auto"/>
              </w:rPr>
            </w:pPr>
          </w:p>
        </w:tc>
      </w:tr>
      <w:tr>
        <w:trPr>
          <w:trHeight w:val="121"/>
        </w:trPr>
        <w:tc>
          <w:tcPr>
            <w:tcW w:w="27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Income before income taxes</w:t>
            </w: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15,871</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19,681</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18,297</w:t>
            </w: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(3,810)</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(2,426)</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w:t>
            </w:r>
          </w:p>
        </w:tc>
        <w:tc>
          <w:tcPr>
            <w:tcW w:w="0" w:type="dxa"/>
            <w:vAlign w:val="bottom"/>
          </w:tcPr>
          <w:p>
            <w:pPr>
              <w:spacing w:after="0"/>
              <w:rPr>
                <w:sz w:val="1"/>
                <w:szCs w:val="1"/>
                <w:color w:val="auto"/>
              </w:rPr>
            </w:pPr>
          </w:p>
        </w:tc>
      </w:tr>
      <w:tr>
        <w:trPr>
          <w:trHeight w:val="124"/>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2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3,853</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4,644</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4,365</w:t>
            </w:r>
          </w:p>
        </w:tc>
        <w:tc>
          <w:tcPr>
            <w:tcW w:w="6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(791)</w:t>
            </w:r>
          </w:p>
        </w:tc>
        <w:tc>
          <w:tcPr>
            <w:tcW w:w="8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(17.0)%</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(512)</w:t>
            </w:r>
          </w:p>
        </w:tc>
        <w:tc>
          <w:tcPr>
            <w:tcW w:w="8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27"/>
        </w:trPr>
        <w:tc>
          <w:tcPr>
            <w:tcW w:w="27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Net income</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12,018</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13,932</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(3,019)</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(1,914)</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0"/>
                <w:szCs w:val="10"/>
                <w:color w:val="auto"/>
              </w:rPr>
              <w:t xml:space="preserve">Pre-tax pre-provision net revenue ("PPNR") </w:t>
            </w:r>
            <w:r>
              <w:rPr>
                <w:rFonts w:ascii="Arial" w:cs="Arial" w:eastAsia="Arial" w:hAnsi="Arial"/>
                <w:sz w:val="12"/>
                <w:szCs w:val="12"/>
                <w:color w:val="auto"/>
                <w:vertAlign w:val="superscript"/>
              </w:rPr>
              <w:t>(1)</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19,090</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23,640</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20,543</w:t>
            </w:r>
          </w:p>
        </w:tc>
        <w:tc>
          <w:tcPr>
            <w:tcW w:w="6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(4,550)</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(19.2)%</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(1,453)</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Core PPNR</w:t>
            </w:r>
            <w:r>
              <w:rPr>
                <w:rFonts w:ascii="Arial" w:cs="Arial" w:eastAsia="Arial" w:hAnsi="Arial"/>
                <w:sz w:val="12"/>
                <w:szCs w:val="12"/>
                <w:color w:val="auto"/>
                <w:vertAlign w:val="superscript"/>
              </w:rPr>
              <w:t>(1)</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19,090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23,640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21,809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(4,550)</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(2,719)</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Common Share Data</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40" w:type="dxa"/>
            <w:vAlign w:val="bottom"/>
          </w:tcPr>
          <w:p>
            <w:pPr>
              <w:spacing w:after="0"/>
              <w:rPr>
                <w:sz w:val="20"/>
                <w:szCs w:val="20"/>
                <w:color w:val="auto"/>
              </w:rPr>
            </w:pPr>
            <w:r>
              <w:rPr>
                <w:rFonts w:ascii="Arial" w:cs="Arial" w:eastAsia="Arial" w:hAnsi="Arial"/>
                <w:sz w:val="10"/>
                <w:szCs w:val="10"/>
                <w:color w:val="auto"/>
              </w:rPr>
              <w:t>Earnings per share - Basic</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0.74</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0.84</w:t>
            </w:r>
          </w:p>
        </w:tc>
        <w:tc>
          <w:tcPr>
            <w:tcW w:w="6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(0.17)</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(18.7)%</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(0.10)</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138"/>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Earnings per share - Diluted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0.73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0.82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(0.18)</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w:t>
            </w: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0"/>
                <w:szCs w:val="10"/>
                <w:color w:val="auto"/>
              </w:rPr>
              <w:t>Core earnings per share - Diluted</w:t>
            </w:r>
            <w:r>
              <w:rPr>
                <w:rFonts w:ascii="Arial" w:cs="Arial" w:eastAsia="Arial" w:hAnsi="Arial"/>
                <w:sz w:val="12"/>
                <w:szCs w:val="12"/>
                <w:color w:val="auto"/>
                <w:vertAlign w:val="superscript"/>
              </w:rPr>
              <w:t>(1)</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0.73</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0.88</w:t>
            </w:r>
          </w:p>
        </w:tc>
        <w:tc>
          <w:tcPr>
            <w:tcW w:w="6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(0.18)</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(19.8)%</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(0.15)</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(17.0)%</w:t>
            </w: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Weighted average common shares - Basic</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16,345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16,493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16,666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40" w:type="dxa"/>
            <w:vAlign w:val="bottom"/>
          </w:tcPr>
          <w:p>
            <w:pPr>
              <w:spacing w:after="0"/>
              <w:rPr>
                <w:sz w:val="20"/>
                <w:szCs w:val="20"/>
                <w:color w:val="auto"/>
              </w:rPr>
            </w:pPr>
            <w:r>
              <w:rPr>
                <w:rFonts w:ascii="Arial" w:cs="Arial" w:eastAsia="Arial" w:hAnsi="Arial"/>
                <w:sz w:val="10"/>
                <w:szCs w:val="10"/>
                <w:color w:val="auto"/>
              </w:rPr>
              <w:t>Weighted average common shares - Diluted</w:t>
            </w:r>
          </w:p>
        </w:tc>
        <w:tc>
          <w:tcPr>
            <w:tcW w:w="200" w:type="dxa"/>
            <w:vAlign w:val="bottom"/>
          </w:tcPr>
          <w:p>
            <w:pPr>
              <w:spacing w:after="0"/>
              <w:rPr>
                <w:sz w:val="11"/>
                <w:szCs w:val="11"/>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16,441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16,493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16,925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20"/>
                <w:szCs w:val="20"/>
                <w:color w:val="auto"/>
              </w:rPr>
            </w:pPr>
            <w:r>
              <w:rPr>
                <w:rFonts w:ascii="Arial" w:cs="Arial" w:eastAsia="Arial" w:hAnsi="Arial"/>
                <w:sz w:val="10"/>
                <w:szCs w:val="10"/>
                <w:b w:val="1"/>
                <w:bCs w:val="1"/>
                <w:color w:val="auto"/>
              </w:rPr>
              <w:t>Return Ratios</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Return on average assets (annualized)</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0"/>
                <w:szCs w:val="10"/>
                <w:color w:val="auto"/>
              </w:rPr>
              <w:t>Core return on average assets (annualized)</w:t>
            </w:r>
            <w:r>
              <w:rPr>
                <w:rFonts w:ascii="Arial" w:cs="Arial" w:eastAsia="Arial" w:hAnsi="Arial"/>
                <w:sz w:val="12"/>
                <w:szCs w:val="12"/>
                <w:color w:val="auto"/>
                <w:vertAlign w:val="superscript"/>
              </w:rPr>
              <w:t>(1)</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1.71 %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1.87 %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Return on average equity (annualized)</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0"/>
                <w:szCs w:val="10"/>
                <w:color w:val="auto"/>
              </w:rPr>
              <w:t>Core return on average equity (annualized)</w:t>
            </w:r>
            <w:r>
              <w:rPr>
                <w:rFonts w:ascii="Arial" w:cs="Arial" w:eastAsia="Arial" w:hAnsi="Arial"/>
                <w:sz w:val="12"/>
                <w:szCs w:val="12"/>
                <w:color w:val="auto"/>
                <w:vertAlign w:val="superscript"/>
              </w:rPr>
              <w:t>(1)</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12.03 %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15.23 %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16.64 %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Return on average tangible common equity (annualized)</w:t>
            </w:r>
            <w:r>
              <w:rPr>
                <w:rFonts w:ascii="Arial" w:cs="Arial" w:eastAsia="Arial" w:hAnsi="Arial"/>
                <w:sz w:val="12"/>
                <w:szCs w:val="12"/>
                <w:color w:val="auto"/>
                <w:vertAlign w:val="superscript"/>
              </w:rPr>
              <w:t>(1)</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13.58 %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17.23 %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17.57 %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40" w:type="dxa"/>
            <w:vAlign w:val="bottom"/>
          </w:tcPr>
          <w:p>
            <w:pPr>
              <w:spacing w:after="0"/>
              <w:rPr>
                <w:sz w:val="20"/>
                <w:szCs w:val="20"/>
                <w:color w:val="auto"/>
              </w:rPr>
            </w:pPr>
            <w:r>
              <w:rPr>
                <w:rFonts w:ascii="Arial" w:cs="Arial" w:eastAsia="Arial" w:hAnsi="Arial"/>
                <w:sz w:val="10"/>
                <w:szCs w:val="10"/>
                <w:color w:val="auto"/>
                <w:w w:val="97"/>
              </w:rPr>
              <w:t>Core return on average tangible common equity (annualized)</w:t>
            </w:r>
            <w:r>
              <w:rPr>
                <w:rFonts w:ascii="Arial" w:cs="Arial" w:eastAsia="Arial" w:hAnsi="Arial"/>
                <w:sz w:val="12"/>
                <w:szCs w:val="12"/>
                <w:color w:val="auto"/>
                <w:w w:val="97"/>
                <w:vertAlign w:val="superscript"/>
              </w:rPr>
              <w:t>(1)</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13.58 %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17.23 %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18.77 %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w:t>
      </w:r>
    </w:p>
    <w:p>
      <w:pPr>
        <w:spacing w:after="0" w:line="28" w:lineRule="exact"/>
        <w:rPr>
          <w:sz w:val="20"/>
          <w:szCs w:val="20"/>
          <w:color w:val="auto"/>
        </w:rPr>
      </w:pPr>
    </w:p>
    <w:p>
      <w:pPr>
        <w:ind w:left="88" w:hanging="88"/>
        <w:spacing w:after="0"/>
        <w:tabs>
          <w:tab w:leader="none" w:pos="88" w:val="left"/>
        </w:tabs>
        <w:numPr>
          <w:ilvl w:val="0"/>
          <w:numId w:val="18"/>
        </w:numPr>
        <w:rPr>
          <w:rFonts w:ascii="Arial" w:cs="Arial" w:eastAsia="Arial" w:hAnsi="Arial"/>
          <w:sz w:val="10"/>
          <w:szCs w:val="10"/>
          <w:color w:val="auto"/>
          <w:vertAlign w:val="superscript"/>
        </w:rPr>
      </w:pPr>
      <w:r>
        <w:rPr>
          <w:rFonts w:ascii="Arial" w:cs="Arial" w:eastAsia="Arial" w:hAnsi="Arial"/>
          <w:sz w:val="8"/>
          <w:szCs w:val="8"/>
          <w:color w:val="auto"/>
        </w:rPr>
        <w:t>Refer to Appendix for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8"/>
          </w:cols>
          <w:pgMar w:left="292" w:top="1081" w:right="29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b w:val="1"/>
          <w:bCs w:val="1"/>
          <w:u w:val="single" w:color="auto"/>
          <w:color w:val="auto"/>
        </w:rPr>
        <w:t>COMPARATIVE FINANCIAL HIGHLIGHTS - Unaudited (Continued)</w:t>
      </w:r>
    </w:p>
    <w:p>
      <w:pPr>
        <w:spacing w:after="0" w:line="21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Quarter Ended</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4"/>
              </w:rPr>
              <w:t>Quarter Ended</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223"/>
        </w:trPr>
        <w:tc>
          <w:tcPr>
            <w:tcW w:w="3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March 31,</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June 30,</w:t>
            </w:r>
          </w:p>
        </w:tc>
      </w:tr>
      <w:tr>
        <w:trPr>
          <w:trHeight w:val="124"/>
        </w:trPr>
        <w:tc>
          <w:tcPr>
            <w:tcW w:w="3160" w:type="dxa"/>
            <w:vAlign w:val="bottom"/>
          </w:tcPr>
          <w:p>
            <w:pPr>
              <w:spacing w:after="0"/>
              <w:rPr>
                <w:sz w:val="20"/>
                <w:szCs w:val="20"/>
                <w:color w:val="auto"/>
              </w:rPr>
            </w:pPr>
            <w:r>
              <w:rPr>
                <w:rFonts w:ascii="Arial" w:cs="Arial" w:eastAsia="Arial" w:hAnsi="Arial"/>
                <w:sz w:val="6"/>
                <w:szCs w:val="6"/>
                <w:color w:val="auto"/>
              </w:rPr>
              <w:t>(in thousands, except per share data)</w:t>
            </w:r>
          </w:p>
        </w:tc>
        <w:tc>
          <w:tcPr>
            <w:tcW w:w="220" w:type="dxa"/>
            <w:vAlign w:val="bottom"/>
          </w:tcPr>
          <w:p>
            <w:pPr>
              <w:spacing w:after="0"/>
              <w:rPr>
                <w:sz w:val="10"/>
                <w:szCs w:val="10"/>
                <w:color w:val="auto"/>
              </w:rPr>
            </w:pPr>
          </w:p>
        </w:tc>
        <w:tc>
          <w:tcPr>
            <w:tcW w:w="780" w:type="dxa"/>
            <w:vAlign w:val="bottom"/>
          </w:tcPr>
          <w:p>
            <w:pPr>
              <w:jc w:val="right"/>
              <w:ind w:right="3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ind w:right="35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1080" w:type="dxa"/>
            <w:vAlign w:val="bottom"/>
            <w:gridSpan w:val="2"/>
          </w:tcPr>
          <w:p>
            <w:pPr>
              <w:ind w:left="280"/>
              <w:spacing w:after="0"/>
              <w:rPr>
                <w:sz w:val="20"/>
                <w:szCs w:val="20"/>
                <w:color w:val="auto"/>
              </w:rPr>
            </w:pPr>
            <w:r>
              <w:rPr>
                <w:rFonts w:ascii="Arial" w:cs="Arial" w:eastAsia="Arial" w:hAnsi="Arial"/>
                <w:sz w:val="9"/>
                <w:szCs w:val="9"/>
                <w:b w:val="1"/>
                <w:bCs w:val="1"/>
                <w:color w:val="auto"/>
              </w:rPr>
              <w:t>% Change</w:t>
            </w:r>
          </w:p>
        </w:tc>
        <w:tc>
          <w:tcPr>
            <w:tcW w:w="220" w:type="dxa"/>
            <w:vAlign w:val="bottom"/>
          </w:tcPr>
          <w:p>
            <w:pPr>
              <w:spacing w:after="0"/>
              <w:rPr>
                <w:sz w:val="10"/>
                <w:szCs w:val="10"/>
                <w:color w:val="auto"/>
              </w:rPr>
            </w:pPr>
          </w:p>
        </w:tc>
        <w:tc>
          <w:tcPr>
            <w:tcW w:w="1120" w:type="dxa"/>
            <w:vAlign w:val="bottom"/>
          </w:tcPr>
          <w:p>
            <w:pPr>
              <w:jc w:val="right"/>
              <w:ind w:right="51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ind w:right="512"/>
              <w:spacing w:after="0"/>
              <w:rPr>
                <w:sz w:val="20"/>
                <w:szCs w:val="20"/>
                <w:color w:val="auto"/>
              </w:rPr>
            </w:pPr>
            <w:r>
              <w:rPr>
                <w:rFonts w:ascii="Arial" w:cs="Arial" w:eastAsia="Arial" w:hAnsi="Arial"/>
                <w:sz w:val="10"/>
                <w:szCs w:val="10"/>
                <w:b w:val="1"/>
                <w:bCs w:val="1"/>
                <w:color w:val="auto"/>
              </w:rPr>
              <w:t>2025</w:t>
            </w:r>
          </w:p>
        </w:tc>
      </w:tr>
      <w:tr>
        <w:trPr>
          <w:trHeight w:val="11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Sheet Highlights</w:t>
            </w: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Assets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3,808,467</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3,349,805</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13.7 %</w:t>
            </w:r>
          </w:p>
        </w:tc>
        <w:tc>
          <w:tcPr>
            <w:tcW w:w="8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3,606,207</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3,389,442</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3,388,662</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Investment securities available-for-sale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230,525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213,452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230,083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232,640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228,923</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Mortgage loans held for sale</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13,739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30,005</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(54.2)%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25,828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14,146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15,933</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Portfolio loans receivable </w:t>
            </w:r>
            <w:r>
              <w:rPr>
                <w:rFonts w:ascii="Arial" w:cs="Arial" w:eastAsia="Arial" w:hAnsi="Arial"/>
                <w:sz w:val="12"/>
                <w:szCs w:val="12"/>
                <w:color w:val="auto"/>
                <w:vertAlign w:val="superscript"/>
              </w:rPr>
              <w:t>(2)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3,026,431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2,678,406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2,959,457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2,821,983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2,739,808</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Allowance for credit losses</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54,680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48,454</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12.8 %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54,660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53,045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47,447</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Goodwill</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25,969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24,085</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25,969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22,478</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Intangible assets</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14,511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15,556</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14,771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15,033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15,295</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Deposits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3,292,047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2,891,333</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3,093,200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2,912,053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2,940,738</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FHLB borrowings</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50,000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22,000</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127.3 %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50,000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22,000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22,000</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Other borrowed funds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12,062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12,062</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Total stockholders' equity</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408,859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369,577</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10.6 %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401,757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394,770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380,035</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Tangible common equity </w:t>
            </w:r>
            <w:r>
              <w:rPr>
                <w:rFonts w:ascii="Arial" w:cs="Arial" w:eastAsia="Arial" w:hAnsi="Arial"/>
                <w:sz w:val="12"/>
                <w:szCs w:val="12"/>
                <w:color w:val="auto"/>
                <w:vertAlign w:val="superscript"/>
              </w:rPr>
              <w:t>(1)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368,379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329,936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361,017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353,768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342,262</w:t>
            </w:r>
          </w:p>
        </w:tc>
      </w:tr>
      <w:tr>
        <w:trPr>
          <w:trHeight w:val="144"/>
        </w:trPr>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5"/>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Common shares outstanding</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16,286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16,657</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16,373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16,589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16,582</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Book value per share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25.10</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22.19</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13.1 %</w:t>
            </w:r>
          </w:p>
        </w:tc>
        <w:tc>
          <w:tcPr>
            <w:tcW w:w="8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24.54</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23.80</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22.92</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Tangible book value per share </w:t>
            </w:r>
            <w:r>
              <w:rPr>
                <w:rFonts w:ascii="Arial" w:cs="Arial" w:eastAsia="Arial" w:hAnsi="Arial"/>
                <w:sz w:val="12"/>
                <w:szCs w:val="12"/>
                <w:color w:val="auto"/>
                <w:vertAlign w:val="superscript"/>
              </w:rPr>
              <w:t>(1)</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19.81</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21.33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20.64</w:t>
            </w:r>
          </w:p>
        </w:tc>
      </w:tr>
      <w:tr>
        <w:trPr>
          <w:trHeight w:val="129"/>
        </w:trPr>
        <w:tc>
          <w:tcPr>
            <w:tcW w:w="3160" w:type="dxa"/>
            <w:vAlign w:val="bottom"/>
          </w:tcPr>
          <w:p>
            <w:pPr>
              <w:spacing w:after="0"/>
              <w:rPr>
                <w:sz w:val="20"/>
                <w:szCs w:val="20"/>
                <w:color w:val="auto"/>
              </w:rPr>
            </w:pPr>
            <w:r>
              <w:rPr>
                <w:rFonts w:ascii="Arial" w:cs="Arial" w:eastAsia="Arial" w:hAnsi="Arial"/>
                <w:sz w:val="10"/>
                <w:szCs w:val="10"/>
                <w:color w:val="auto"/>
              </w:rPr>
              <w:t>Dividends per share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0.12</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0.10</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20.0 %</w:t>
            </w:r>
          </w:p>
        </w:tc>
        <w:tc>
          <w:tcPr>
            <w:tcW w:w="8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0.12</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0.12</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0.10</w:t>
            </w:r>
          </w:p>
        </w:tc>
      </w:tr>
    </w:tbl>
    <w:p>
      <w:pPr>
        <w:spacing w:after="0" w:line="43"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w:t>
      </w:r>
    </w:p>
    <w:p>
      <w:pPr>
        <w:spacing w:after="0" w:line="28" w:lineRule="exact"/>
        <w:rPr>
          <w:sz w:val="20"/>
          <w:szCs w:val="20"/>
          <w:color w:val="auto"/>
        </w:rPr>
      </w:pPr>
    </w:p>
    <w:p>
      <w:pPr>
        <w:ind w:left="88" w:hanging="88"/>
        <w:spacing w:after="0"/>
        <w:tabs>
          <w:tab w:leader="none" w:pos="88" w:val="left"/>
        </w:tabs>
        <w:numPr>
          <w:ilvl w:val="0"/>
          <w:numId w:val="19"/>
        </w:numPr>
        <w:rPr>
          <w:rFonts w:ascii="Arial" w:cs="Arial" w:eastAsia="Arial" w:hAnsi="Arial"/>
          <w:sz w:val="10"/>
          <w:szCs w:val="10"/>
          <w:color w:val="auto"/>
          <w:vertAlign w:val="superscript"/>
        </w:rPr>
      </w:pPr>
      <w:r>
        <w:rPr>
          <w:rFonts w:ascii="Arial" w:cs="Arial" w:eastAsia="Arial" w:hAnsi="Arial"/>
          <w:sz w:val="8"/>
          <w:szCs w:val="8"/>
          <w:color w:val="auto"/>
        </w:rPr>
        <w:t>Refer to Appendix for reconciliation of non-GAAP measures.</w:t>
      </w:r>
    </w:p>
    <w:p>
      <w:pPr>
        <w:spacing w:after="0" w:line="6" w:lineRule="exact"/>
        <w:rPr>
          <w:rFonts w:ascii="Arial" w:cs="Arial" w:eastAsia="Arial" w:hAnsi="Arial"/>
          <w:sz w:val="10"/>
          <w:szCs w:val="10"/>
          <w:color w:val="auto"/>
          <w:vertAlign w:val="superscript"/>
        </w:rPr>
      </w:pPr>
    </w:p>
    <w:p>
      <w:pPr>
        <w:ind w:left="88" w:hanging="88"/>
        <w:spacing w:after="0" w:line="212" w:lineRule="auto"/>
        <w:tabs>
          <w:tab w:leader="none" w:pos="88" w:val="left"/>
        </w:tabs>
        <w:numPr>
          <w:ilvl w:val="0"/>
          <w:numId w:val="19"/>
        </w:numPr>
        <w:rPr>
          <w:rFonts w:ascii="Arial" w:cs="Arial" w:eastAsia="Arial" w:hAnsi="Arial"/>
          <w:sz w:val="10"/>
          <w:szCs w:val="10"/>
          <w:color w:val="auto"/>
          <w:vertAlign w:val="superscript"/>
        </w:rPr>
      </w:pPr>
      <w:r>
        <w:rPr>
          <w:rFonts w:ascii="Arial" w:cs="Arial" w:eastAsia="Arial" w:hAnsi="Arial"/>
          <w:sz w:val="8"/>
          <w:szCs w:val="8"/>
          <w:color w:val="auto"/>
        </w:rPr>
        <w:t>Loans are reflected net of deferred fees and costs.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668"/>
          </w:cols>
          <w:pgMar w:left="292" w:top="1081" w:right="93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u w:val="single" w:color="auto"/>
          <w:color w:val="auto"/>
        </w:rPr>
        <w:t>Consolidated Statements of Income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9"/>
              </w:rPr>
              <w:t>Three Months Ended</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3"/>
        </w:trPr>
        <w:tc>
          <w:tcPr>
            <w:tcW w:w="3940" w:type="dxa"/>
            <w:vAlign w:val="bottom"/>
          </w:tcPr>
          <w:p>
            <w:pPr>
              <w:spacing w:after="0"/>
              <w:rPr>
                <w:sz w:val="20"/>
                <w:szCs w:val="20"/>
                <w:color w:val="auto"/>
              </w:rPr>
            </w:pPr>
            <w:r>
              <w:rPr>
                <w:rFonts w:ascii="Arial" w:cs="Arial" w:eastAsia="Arial" w:hAnsi="Arial"/>
                <w:sz w:val="7"/>
                <w:szCs w:val="7"/>
                <w:color w:val="auto"/>
              </w:rPr>
              <w:t>(in thousands)</w:t>
            </w:r>
          </w:p>
        </w:tc>
        <w:tc>
          <w:tcPr>
            <w:tcW w:w="12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31, 2026</w:t>
            </w:r>
          </w:p>
        </w:tc>
        <w:tc>
          <w:tcPr>
            <w:tcW w:w="60" w:type="dxa"/>
            <w:vAlign w:val="bottom"/>
          </w:tcPr>
          <w:p>
            <w:pPr>
              <w:spacing w:after="0"/>
              <w:rPr>
                <w:sz w:val="10"/>
                <w:szCs w:val="10"/>
                <w:color w:val="auto"/>
              </w:rPr>
            </w:pPr>
          </w:p>
        </w:tc>
        <w:tc>
          <w:tcPr>
            <w:tcW w:w="920" w:type="dxa"/>
            <w:vAlign w:val="bottom"/>
          </w:tcPr>
          <w:p>
            <w:pPr>
              <w:jc w:val="right"/>
              <w:ind w:right="32"/>
              <w:spacing w:after="0"/>
              <w:rPr>
                <w:sz w:val="20"/>
                <w:szCs w:val="20"/>
                <w:color w:val="auto"/>
              </w:rPr>
            </w:pPr>
            <w:r>
              <w:rPr>
                <w:rFonts w:ascii="Arial" w:cs="Arial" w:eastAsia="Arial" w:hAnsi="Arial"/>
                <w:sz w:val="10"/>
                <w:szCs w:val="10"/>
                <w:color w:val="auto"/>
                <w:w w:val="93"/>
              </w:rPr>
              <w:t>December 31, 2025</w:t>
            </w:r>
          </w:p>
        </w:tc>
        <w:tc>
          <w:tcPr>
            <w:tcW w:w="60" w:type="dxa"/>
            <w:vAlign w:val="bottom"/>
          </w:tcPr>
          <w:p>
            <w:pPr>
              <w:spacing w:after="0"/>
              <w:rPr>
                <w:sz w:val="10"/>
                <w:szCs w:val="1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0"/>
                <w:szCs w:val="10"/>
                <w:color w:val="auto"/>
              </w:rPr>
              <w:t>September 30, 2025</w:t>
            </w:r>
          </w:p>
        </w:tc>
        <w:tc>
          <w:tcPr>
            <w:tcW w:w="10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0"/>
                <w:szCs w:val="10"/>
                <w:color w:val="auto"/>
              </w:rPr>
              <w:t>June 30, 2025</w:t>
            </w:r>
          </w:p>
        </w:tc>
        <w:tc>
          <w:tcPr>
            <w:tcW w:w="120" w:type="dxa"/>
            <w:vAlign w:val="bottom"/>
          </w:tcPr>
          <w:p>
            <w:pPr>
              <w:spacing w:after="0"/>
              <w:rPr>
                <w:sz w:val="10"/>
                <w:szCs w:val="10"/>
                <w:color w:val="auto"/>
              </w:rPr>
            </w:pPr>
          </w:p>
        </w:tc>
        <w:tc>
          <w:tcPr>
            <w:tcW w:w="880" w:type="dxa"/>
            <w:vAlign w:val="bottom"/>
          </w:tcPr>
          <w:p>
            <w:pPr>
              <w:jc w:val="right"/>
              <w:ind w:right="132"/>
              <w:spacing w:after="0"/>
              <w:rPr>
                <w:sz w:val="20"/>
                <w:szCs w:val="20"/>
                <w:color w:val="auto"/>
              </w:rPr>
            </w:pPr>
            <w:r>
              <w:rPr>
                <w:rFonts w:ascii="Arial" w:cs="Arial" w:eastAsia="Arial" w:hAnsi="Arial"/>
                <w:sz w:val="10"/>
                <w:szCs w:val="10"/>
                <w:color w:val="auto"/>
                <w:w w:val="97"/>
              </w:rPr>
              <w:t>March 31, 2025</w:t>
            </w:r>
          </w:p>
        </w:tc>
      </w:tr>
      <w:tr>
        <w:trPr>
          <w:trHeight w:val="1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Interest income</w:t>
            </w: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Loans, including fees</w:t>
            </w: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64,186</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64,933</w:t>
            </w:r>
          </w:p>
        </w:tc>
        <w:tc>
          <w:tcPr>
            <w:tcW w:w="420" w:type="dxa"/>
            <w:vAlign w:val="bottom"/>
            <w:gridSpan w:val="2"/>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60,838</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60,810</w:t>
            </w:r>
          </w:p>
        </w:tc>
        <w:tc>
          <w:tcPr>
            <w:tcW w:w="6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58,691</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Investment securities available-for-sale</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1,728</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1,861</w:t>
            </w:r>
          </w:p>
        </w:tc>
      </w:tr>
      <w:tr>
        <w:trPr>
          <w:trHeight w:val="134"/>
        </w:trPr>
        <w:tc>
          <w:tcPr>
            <w:tcW w:w="394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Federal funds sold and other</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2,325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1,973</w:t>
            </w:r>
          </w:p>
        </w:tc>
        <w:tc>
          <w:tcPr>
            <w:tcW w:w="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2,248</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2,194</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2,208</w:t>
            </w:r>
          </w:p>
        </w:tc>
      </w:tr>
      <w:tr>
        <w:trPr>
          <w:trHeight w:val="124"/>
        </w:trPr>
        <w:tc>
          <w:tcPr>
            <w:tcW w:w="39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interest income</w:t>
            </w: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67,970</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68,634</w:t>
            </w:r>
          </w:p>
        </w:tc>
        <w:tc>
          <w:tcPr>
            <w:tcW w:w="6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64,891</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64,586</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62,760</w:t>
            </w:r>
          </w:p>
        </w:tc>
      </w:tr>
      <w:tr>
        <w:trPr>
          <w:trHeight w:val="44"/>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Interest expense</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Deposits</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18,070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17,805</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12,732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16,722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16,512</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Borrowed funds</w:t>
            </w: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502</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550</w:t>
            </w: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218</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201</w:t>
            </w:r>
          </w:p>
        </w:tc>
      </w:tr>
      <w:tr>
        <w:trPr>
          <w:trHeight w:val="172"/>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interest expense</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18,572</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18,355</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12,871</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16,940</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16,713</w:t>
            </w:r>
          </w:p>
        </w:tc>
      </w:tr>
      <w:tr>
        <w:trPr>
          <w:trHeight w:val="134"/>
        </w:trPr>
        <w:tc>
          <w:tcPr>
            <w:tcW w:w="3940" w:type="dxa"/>
            <w:vAlign w:val="bottom"/>
            <w:tcBorders>
              <w:top w:val="single" w:sz="8" w:color="CCEEFF"/>
            </w:tcBorders>
          </w:tcPr>
          <w:p>
            <w:pPr>
              <w:spacing w:after="0"/>
              <w:rPr>
                <w:sz w:val="20"/>
                <w:szCs w:val="20"/>
                <w:color w:val="auto"/>
              </w:rPr>
            </w:pPr>
            <w:r>
              <w:rPr>
                <w:rFonts w:ascii="Arial" w:cs="Arial" w:eastAsia="Arial" w:hAnsi="Arial"/>
                <w:sz w:val="10"/>
                <w:szCs w:val="10"/>
                <w:b w:val="1"/>
                <w:bCs w:val="1"/>
                <w:color w:val="auto"/>
              </w:rPr>
              <w:t>Net interest income</w:t>
            </w:r>
          </w:p>
        </w:tc>
        <w:tc>
          <w:tcPr>
            <w:tcW w:w="12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0"/>
                <w:szCs w:val="10"/>
                <w:b w:val="1"/>
                <w:bCs w:val="1"/>
                <w:color w:val="auto"/>
              </w:rPr>
              <w:t>49,398</w:t>
            </w: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50,279</w:t>
            </w:r>
          </w:p>
        </w:tc>
        <w:tc>
          <w:tcPr>
            <w:tcW w:w="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52,020</w:t>
            </w: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47,646</w:t>
            </w:r>
          </w:p>
        </w:tc>
        <w:tc>
          <w:tcPr>
            <w:tcW w:w="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jc w:val="right"/>
              <w:ind w:right="12"/>
              <w:spacing w:after="0"/>
              <w:rPr>
                <w:sz w:val="20"/>
                <w:szCs w:val="20"/>
                <w:color w:val="auto"/>
              </w:rPr>
            </w:pPr>
            <w:r>
              <w:rPr>
                <w:rFonts w:ascii="Arial" w:cs="Arial" w:eastAsia="Arial" w:hAnsi="Arial"/>
                <w:sz w:val="10"/>
                <w:szCs w:val="10"/>
                <w:color w:val="auto"/>
              </w:rPr>
              <w:t>46,047</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Provision for credit losses</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3,014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3,988</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4,081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2,246</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Provision for (release of) credit losses on unfunded commitments</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205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25"/>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Net interest income after provision for credit losses</w:t>
            </w: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46,179</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46,320</w:t>
            </w: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47,153</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43,565</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43,801</w:t>
            </w:r>
          </w:p>
        </w:tc>
      </w:tr>
      <w:tr>
        <w:trPr>
          <w:trHeight w:val="114"/>
        </w:trPr>
        <w:tc>
          <w:tcPr>
            <w:tcW w:w="3940" w:type="dxa"/>
            <w:vAlign w:val="bottom"/>
          </w:tcPr>
          <w:p>
            <w:pPr>
              <w:spacing w:after="0" w:line="113" w:lineRule="exact"/>
              <w:rPr>
                <w:sz w:val="20"/>
                <w:szCs w:val="20"/>
                <w:color w:val="auto"/>
              </w:rPr>
            </w:pPr>
            <w:r>
              <w:rPr>
                <w:rFonts w:ascii="Arial" w:cs="Arial" w:eastAsia="Arial" w:hAnsi="Arial"/>
                <w:sz w:val="10"/>
                <w:szCs w:val="10"/>
                <w:b w:val="1"/>
                <w:bCs w:val="1"/>
                <w:color w:val="auto"/>
              </w:rPr>
              <w:t>Noninterest income</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Service charges on deposits</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403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258</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Credit card fees</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4,692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4,837</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4,509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4,298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3,722</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Mortgage banking revenue</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1,960</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1,831</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Government lending revenue</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923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3,112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1,096</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Government loan servicing revenue</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4,345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4,036</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3,644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3,568</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Loan servicing rights</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497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295</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(590)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472</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income (loss)</w:t>
            </w: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957</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965</w:t>
            </w: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(440)</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626</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1,602</w:t>
            </w:r>
          </w:p>
        </w:tc>
      </w:tr>
      <w:tr>
        <w:trPr>
          <w:trHeight w:val="123"/>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noninterest income</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13,373</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12,464</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11,068</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13,106</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12,549</w:t>
            </w:r>
          </w:p>
        </w:tc>
      </w:tr>
      <w:tr>
        <w:trPr>
          <w:trHeight w:val="116"/>
        </w:trPr>
        <w:tc>
          <w:tcPr>
            <w:tcW w:w="39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expenses</w:t>
            </w: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Salaries and employee benefits</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20,317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17,914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17,728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18,460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18,067</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Occupancy and equipment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3,562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2,638</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2,910</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Professional fees</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4,965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4,294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2,131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2,422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2,112</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Data processing</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7,767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7,502</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7,520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7,112</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Advertising</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1,466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1,398</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1,371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1,779</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Loan processing</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1,152</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743</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Merger-related expenses</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697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1,398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1,266</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Operational and other card fraud related losses</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903</w:t>
            </w:r>
          </w:p>
        </w:tc>
      </w:tr>
      <w:tr>
        <w:trPr>
          <w:trHeight w:val="134"/>
        </w:trPr>
        <w:tc>
          <w:tcPr>
            <w:tcW w:w="3940" w:type="dxa"/>
            <w:vAlign w:val="bottom"/>
          </w:tcPr>
          <w:p>
            <w:pPr>
              <w:ind w:left="100"/>
              <w:spacing w:after="0"/>
              <w:rPr>
                <w:sz w:val="20"/>
                <w:szCs w:val="20"/>
                <w:color w:val="auto"/>
              </w:rPr>
            </w:pPr>
            <w:r>
              <w:rPr>
                <w:rFonts w:ascii="Arial" w:cs="Arial" w:eastAsia="Arial" w:hAnsi="Arial"/>
                <w:sz w:val="10"/>
                <w:szCs w:val="10"/>
                <w:color w:val="auto"/>
              </w:rPr>
              <w:t>Regulatory assessment expenses</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941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858</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884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889</w:t>
            </w:r>
          </w:p>
        </w:tc>
      </w:tr>
      <w:tr>
        <w:trPr>
          <w:trHeight w:val="136"/>
        </w:trPr>
        <w:tc>
          <w:tcPr>
            <w:tcW w:w="39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operating</w:t>
            </w: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2,590</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2,597</w:t>
            </w: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2,804</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2,610</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2,272</w:t>
            </w:r>
          </w:p>
        </w:tc>
      </w:tr>
      <w:tr>
        <w:trPr>
          <w:trHeight w:val="123"/>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noninterest expenses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43,681</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39,103</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38,354</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39,572</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38,053</w:t>
            </w:r>
          </w:p>
        </w:tc>
      </w:tr>
      <w:tr>
        <w:trPr>
          <w:trHeight w:val="125"/>
        </w:trPr>
        <w:tc>
          <w:tcPr>
            <w:tcW w:w="3940" w:type="dxa"/>
            <w:vAlign w:val="bottom"/>
            <w:shd w:val="clear" w:color="auto" w:fill="CCEEFF"/>
          </w:tcPr>
          <w:p>
            <w:pPr>
              <w:spacing w:after="0"/>
              <w:rPr>
                <w:sz w:val="20"/>
                <w:szCs w:val="20"/>
                <w:color w:val="auto"/>
              </w:rPr>
            </w:pPr>
            <w:r>
              <w:rPr>
                <w:rFonts w:ascii="Arial" w:cs="Arial" w:eastAsia="Arial" w:hAnsi="Arial"/>
                <w:sz w:val="10"/>
                <w:szCs w:val="10"/>
                <w:color w:val="auto"/>
              </w:rPr>
              <w:t>Income before income taxes</w:t>
            </w: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15,871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19,681</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19,867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17,099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18,297</w:t>
            </w:r>
          </w:p>
        </w:tc>
      </w:tr>
      <w:tr>
        <w:trPr>
          <w:trHeight w:val="134"/>
        </w:trPr>
        <w:tc>
          <w:tcPr>
            <w:tcW w:w="39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3,853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4,644</w:t>
            </w:r>
          </w:p>
        </w:tc>
        <w:tc>
          <w:tcPr>
            <w:tcW w:w="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4,802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3,963</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4,365</w:t>
            </w:r>
          </w:p>
        </w:tc>
      </w:tr>
      <w:tr>
        <w:trPr>
          <w:trHeight w:val="141"/>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12,018</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15,037</w:t>
            </w:r>
          </w:p>
        </w:tc>
        <w:tc>
          <w:tcPr>
            <w:tcW w:w="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15,065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13,136</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13,932</w:t>
            </w:r>
          </w:p>
        </w:tc>
      </w:tr>
    </w:tbl>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60"/>
          </w:cols>
          <w:pgMar w:left="1420" w:top="730" w:right="14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auto"/>
        </w:rPr>
        <w:t>Consolidated Balance Sheets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5"/>
              </w:rPr>
              <w:t>(unaudited)</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0"/>
                <w:szCs w:val="10"/>
                <w:color w:val="auto"/>
                <w:w w:val="96"/>
              </w:rPr>
              <w:t>(audited)</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(unaudited)</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color w:val="auto"/>
                <w:w w:val="94"/>
              </w:rPr>
              <w:t>(unaudited)</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(unaudited)</w:t>
            </w:r>
          </w:p>
        </w:tc>
      </w:tr>
      <w:tr>
        <w:trPr>
          <w:trHeight w:val="123"/>
        </w:trPr>
        <w:tc>
          <w:tcPr>
            <w:tcW w:w="5620" w:type="dxa"/>
            <w:vAlign w:val="bottom"/>
          </w:tcPr>
          <w:p>
            <w:pPr>
              <w:spacing w:after="0"/>
              <w:rPr>
                <w:sz w:val="20"/>
                <w:szCs w:val="20"/>
                <w:color w:val="auto"/>
              </w:rPr>
            </w:pPr>
            <w:r>
              <w:rPr>
                <w:rFonts w:ascii="Arial" w:cs="Arial" w:eastAsia="Arial" w:hAnsi="Arial"/>
                <w:sz w:val="7"/>
                <w:szCs w:val="7"/>
                <w:color w:val="auto"/>
              </w:rPr>
              <w:t>(in thousands, except share data)</w:t>
            </w:r>
          </w:p>
        </w:tc>
        <w:tc>
          <w:tcPr>
            <w:tcW w:w="100" w:type="dxa"/>
            <w:vAlign w:val="bottom"/>
          </w:tcPr>
          <w:p>
            <w:pPr>
              <w:spacing w:after="0"/>
              <w:rPr>
                <w:sz w:val="10"/>
                <w:szCs w:val="1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 2026</w:t>
            </w:r>
          </w:p>
        </w:tc>
        <w:tc>
          <w:tcPr>
            <w:tcW w:w="6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0"/>
                <w:szCs w:val="10"/>
                <w:color w:val="auto"/>
                <w:w w:val="95"/>
              </w:rPr>
              <w:t>December 31, 2025</w:t>
            </w:r>
          </w:p>
        </w:tc>
        <w:tc>
          <w:tcPr>
            <w:tcW w:w="1040" w:type="dxa"/>
            <w:vAlign w:val="bottom"/>
            <w:gridSpan w:val="3"/>
          </w:tcPr>
          <w:p>
            <w:pPr>
              <w:ind w:left="60"/>
              <w:spacing w:after="0"/>
              <w:rPr>
                <w:sz w:val="20"/>
                <w:szCs w:val="20"/>
                <w:color w:val="auto"/>
              </w:rPr>
            </w:pPr>
            <w:r>
              <w:rPr>
                <w:rFonts w:ascii="Arial" w:cs="Arial" w:eastAsia="Arial" w:hAnsi="Arial"/>
                <w:sz w:val="10"/>
                <w:szCs w:val="10"/>
                <w:color w:val="auto"/>
              </w:rPr>
              <w:t>September 30, 2025</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0"/>
                <w:szCs w:val="10"/>
                <w:color w:val="auto"/>
                <w:w w:val="94"/>
              </w:rPr>
              <w:t>June 30, 2025</w:t>
            </w:r>
          </w:p>
        </w:tc>
        <w:tc>
          <w:tcPr>
            <w:tcW w:w="100" w:type="dxa"/>
            <w:vAlign w:val="bottom"/>
          </w:tcPr>
          <w:p>
            <w:pPr>
              <w:spacing w:after="0"/>
              <w:rPr>
                <w:sz w:val="10"/>
                <w:szCs w:val="10"/>
                <w:color w:val="auto"/>
              </w:rPr>
            </w:pPr>
          </w:p>
        </w:tc>
        <w:tc>
          <w:tcPr>
            <w:tcW w:w="880" w:type="dxa"/>
            <w:vAlign w:val="bottom"/>
          </w:tcPr>
          <w:p>
            <w:pPr>
              <w:jc w:val="right"/>
              <w:ind w:right="112"/>
              <w:spacing w:after="0"/>
              <w:rPr>
                <w:sz w:val="20"/>
                <w:szCs w:val="20"/>
                <w:color w:val="auto"/>
              </w:rPr>
            </w:pPr>
            <w:r>
              <w:rPr>
                <w:rFonts w:ascii="Arial" w:cs="Arial" w:eastAsia="Arial" w:hAnsi="Arial"/>
                <w:sz w:val="10"/>
                <w:szCs w:val="10"/>
                <w:color w:val="auto"/>
              </w:rPr>
              <w:t>March 31, 2025</w:t>
            </w:r>
          </w:p>
        </w:tc>
      </w:tr>
      <w:tr>
        <w:trPr>
          <w:trHeight w:val="1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20,182</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30,894</w:t>
            </w:r>
          </w:p>
        </w:tc>
        <w:tc>
          <w:tcPr>
            <w:tcW w:w="6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25,724</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26,843</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27,836</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Interest-bearing deposits at other financial institutions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379,069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224,611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163,078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247,704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266,092</w:t>
            </w:r>
          </w:p>
        </w:tc>
      </w:tr>
      <w:tr>
        <w:trPr>
          <w:trHeight w:val="134"/>
        </w:trPr>
        <w:tc>
          <w:tcPr>
            <w:tcW w:w="56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Federal funds sold</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60</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59</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59</w:t>
            </w:r>
          </w:p>
        </w:tc>
      </w:tr>
      <w:tr>
        <w:trPr>
          <w:trHeight w:val="125"/>
        </w:trPr>
        <w:tc>
          <w:tcPr>
            <w:tcW w:w="56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cash and cash equivalents</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399,311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255,565</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188,861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274,606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293,987</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Investment securities available-for-sale</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230,525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230,083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232,640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228,923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213,452</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Restricted investments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8,691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8,397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7,057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7,043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7,031</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Loans held for sale</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13,739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25,828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14,146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15,933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30,005</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Portfolio loans receivable, net of deferred fees and costs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3,026,431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2,959,457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2,821,983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2,739,808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2,678,406</w:t>
            </w:r>
          </w:p>
        </w:tc>
      </w:tr>
      <w:tr>
        <w:trPr>
          <w:trHeight w:val="134"/>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Less allowance for credit losses</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(54,680)</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(54,660)</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(53,045)</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(47,447)</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(48,454)</w:t>
            </w:r>
          </w:p>
        </w:tc>
      </w:tr>
      <w:tr>
        <w:trPr>
          <w:trHeight w:val="125"/>
        </w:trPr>
        <w:tc>
          <w:tcPr>
            <w:tcW w:w="56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portfolio loans held for investment, net</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2,971,751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2,904,797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2,768,938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2,692,361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2,629,952</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Premises and equipment, net</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17,732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15,072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15,304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14,863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15,085</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Accrued interest receivable</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16,795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16,695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19,011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15,149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19,458</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Goodwill</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25,969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25,969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25,969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22,478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24,085</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Intangible assets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14,511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14,771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15,033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15,295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15,556</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Loan servicing assets</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1,957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1,816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2,070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2,221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2,244</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Deferred tax asset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15,187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14,992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14,885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15,667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15,902</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Bank owned life insurance</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45,871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45,488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45,105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44,721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44,335</w:t>
            </w:r>
          </w:p>
        </w:tc>
      </w:tr>
      <w:tr>
        <w:trPr>
          <w:trHeight w:val="135"/>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Other assets</w:t>
            </w: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46,428</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46,734</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40,423</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39,402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38,713</w:t>
            </w:r>
          </w:p>
        </w:tc>
      </w:tr>
      <w:tr>
        <w:trPr>
          <w:trHeight w:val="141"/>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3,808,467</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3,606,207</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3,389,442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3,388,662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3,349,805</w:t>
            </w:r>
          </w:p>
        </w:tc>
      </w:tr>
      <w:tr>
        <w:trPr>
          <w:trHeight w:val="117"/>
        </w:trPr>
        <w:tc>
          <w:tcPr>
            <w:tcW w:w="5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4"/>
        </w:trPr>
        <w:tc>
          <w:tcPr>
            <w:tcW w:w="5620" w:type="dxa"/>
            <w:vAlign w:val="bottom"/>
          </w:tcPr>
          <w:p>
            <w:pPr>
              <w:spacing w:after="0"/>
              <w:rPr>
                <w:sz w:val="20"/>
                <w:szCs w:val="20"/>
                <w:color w:val="auto"/>
              </w:rPr>
            </w:pPr>
            <w:r>
              <w:rPr>
                <w:rFonts w:ascii="Arial" w:cs="Arial" w:eastAsia="Arial" w:hAnsi="Arial"/>
                <w:sz w:val="10"/>
                <w:szCs w:val="10"/>
                <w:b w:val="1"/>
                <w:bCs w:val="1"/>
                <w:color w:val="auto"/>
              </w:rPr>
              <w:t>Liabilities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Deposits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34"/>
        </w:trPr>
        <w:tc>
          <w:tcPr>
            <w:tcW w:w="5620" w:type="dxa"/>
            <w:vAlign w:val="bottom"/>
          </w:tcPr>
          <w:p>
            <w:pPr>
              <w:ind w:left="120"/>
              <w:spacing w:after="0"/>
              <w:rPr>
                <w:sz w:val="20"/>
                <w:szCs w:val="20"/>
                <w:color w:val="auto"/>
              </w:rPr>
            </w:pPr>
            <w:r>
              <w:rPr>
                <w:rFonts w:ascii="Arial" w:cs="Arial" w:eastAsia="Arial" w:hAnsi="Arial"/>
                <w:sz w:val="10"/>
                <w:szCs w:val="10"/>
                <w:color w:val="auto"/>
              </w:rPr>
              <w:t>Noninterest-bearing</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871,677</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852,741</w:t>
            </w:r>
          </w:p>
        </w:tc>
        <w:tc>
          <w:tcPr>
            <w:tcW w:w="6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857,543</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836,979</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812,224</w:t>
            </w:r>
          </w:p>
        </w:tc>
      </w:tr>
      <w:tr>
        <w:trPr>
          <w:trHeight w:val="136"/>
        </w:trPr>
        <w:tc>
          <w:tcPr>
            <w:tcW w:w="5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w:t>
            </w: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2,420,370</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2,240,459</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2,054,510</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2,103,759</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2,079,109</w:t>
            </w:r>
          </w:p>
        </w:tc>
      </w:tr>
      <w:tr>
        <w:trPr>
          <w:trHeight w:val="123"/>
        </w:trPr>
        <w:tc>
          <w:tcPr>
            <w:tcW w:w="5620" w:type="dxa"/>
            <w:vAlign w:val="bottom"/>
          </w:tcPr>
          <w:p>
            <w:pPr>
              <w:ind w:left="260"/>
              <w:spacing w:after="0"/>
              <w:rPr>
                <w:sz w:val="20"/>
                <w:szCs w:val="20"/>
                <w:color w:val="auto"/>
              </w:rPr>
            </w:pPr>
            <w:r>
              <w:rPr>
                <w:rFonts w:ascii="Arial" w:cs="Arial" w:eastAsia="Arial" w:hAnsi="Arial"/>
                <w:sz w:val="10"/>
                <w:szCs w:val="10"/>
                <w:color w:val="auto"/>
              </w:rPr>
              <w:t>Total deposits</w:t>
            </w:r>
          </w:p>
        </w:tc>
        <w:tc>
          <w:tcPr>
            <w:tcW w:w="10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3,292,047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3,093,200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2,912,053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2,940,738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2,891,333</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Federal Home Loan Bank advances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50,000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22,000</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Other borrowed funds</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2,062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2,062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12,062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12,062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12,062</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Accrued interest payable</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8,944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8,745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8,045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8,158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9,995</w:t>
            </w:r>
          </w:p>
        </w:tc>
      </w:tr>
      <w:tr>
        <w:trPr>
          <w:trHeight w:val="134"/>
        </w:trPr>
        <w:tc>
          <w:tcPr>
            <w:tcW w:w="56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46,555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50,443</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40,512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25,669</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44,838</w:t>
            </w:r>
          </w:p>
        </w:tc>
      </w:tr>
      <w:tr>
        <w:trPr>
          <w:trHeight w:val="124"/>
        </w:trPr>
        <w:tc>
          <w:tcPr>
            <w:tcW w:w="56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liabilities</w:t>
            </w: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3,399,608</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3,204,450</w:t>
            </w:r>
          </w:p>
        </w:tc>
        <w:tc>
          <w:tcPr>
            <w:tcW w:w="6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2,994,672</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3,008,627</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2,980,228</w:t>
            </w:r>
          </w:p>
        </w:tc>
      </w:tr>
      <w:tr>
        <w:trPr>
          <w:trHeight w:val="116"/>
        </w:trPr>
        <w:tc>
          <w:tcPr>
            <w:tcW w:w="5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56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Common stock</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163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164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166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166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167</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Additional paid-in capital</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112,268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114,604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121,707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121,362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123,476</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302,808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292,749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279,693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266,619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255,141</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(6,380)</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(5,760)</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(6,796)</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(8,112)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(9,207)</w:t>
            </w:r>
          </w:p>
        </w:tc>
      </w:tr>
      <w:tr>
        <w:trPr>
          <w:trHeight w:val="123"/>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Total stockholders' equity</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408,859</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401,757</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394,770</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380,035</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369,577</w:t>
            </w:r>
          </w:p>
        </w:tc>
      </w:tr>
      <w:tr>
        <w:trPr>
          <w:trHeight w:val="141"/>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3,808,467</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3,606,207</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3,389,442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3,388,662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3,349,805</w:t>
            </w:r>
          </w:p>
        </w:tc>
      </w:tr>
    </w:tbl>
    <w:p>
      <w:pPr>
        <w:spacing w:after="0" w:line="200" w:lineRule="exact"/>
        <w:rPr>
          <w:sz w:val="20"/>
          <w:szCs w:val="20"/>
          <w:color w:val="auto"/>
        </w:rPr>
      </w:pPr>
    </w:p>
    <w:p>
      <w:pPr>
        <w:spacing w:after="0" w:line="354"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680"/>
          </w:cols>
          <w:pgMar w:left="720" w:top="724" w:right="49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2"/>
          <w:szCs w:val="12"/>
          <w:color w:val="auto"/>
        </w:rPr>
        <w:t>The following tables show the average outstanding balance of each principal category of our assets, liabilities and stockholders’ equity, together with the average yields on our assets and the average costs of our liabilities for the periods indicated. Such yields and costs are calculated by dividing the annualized income or expense by the average daily balances of the corresponding assets or liabilities for the same period.</w:t>
      </w:r>
    </w:p>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7"/>
          </w:tcPr>
          <w:p>
            <w:pPr>
              <w:jc w:val="center"/>
              <w:ind w:left="492"/>
              <w:spacing w:after="0"/>
              <w:rPr>
                <w:sz w:val="20"/>
                <w:szCs w:val="20"/>
                <w:color w:val="auto"/>
              </w:rPr>
            </w:pPr>
            <w:r>
              <w:rPr>
                <w:rFonts w:ascii="Arial" w:cs="Arial" w:eastAsia="Arial" w:hAnsi="Arial"/>
                <w:sz w:val="10"/>
                <w:szCs w:val="10"/>
                <w:b w:val="1"/>
                <w:bCs w:val="1"/>
                <w:color w:val="auto"/>
                <w:w w:val="94"/>
              </w:rPr>
              <w:t>Three Months Ended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5"/>
          </w:tcPr>
          <w:p>
            <w:pPr>
              <w:jc w:val="center"/>
              <w:ind w:left="552"/>
              <w:spacing w:after="0"/>
              <w:rPr>
                <w:sz w:val="20"/>
                <w:szCs w:val="20"/>
                <w:color w:val="auto"/>
              </w:rPr>
            </w:pPr>
            <w:r>
              <w:rPr>
                <w:rFonts w:ascii="Arial" w:cs="Arial" w:eastAsia="Arial" w:hAnsi="Arial"/>
                <w:sz w:val="10"/>
                <w:szCs w:val="10"/>
                <w:color w:val="auto"/>
                <w:w w:val="96"/>
              </w:rPr>
              <w:t>Three Months Ended</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jc w:val="center"/>
              <w:ind w:left="552"/>
              <w:spacing w:after="0"/>
              <w:rPr>
                <w:sz w:val="20"/>
                <w:szCs w:val="20"/>
                <w:color w:val="auto"/>
              </w:rPr>
            </w:pPr>
            <w:r>
              <w:rPr>
                <w:rFonts w:ascii="Arial" w:cs="Arial" w:eastAsia="Arial" w:hAnsi="Arial"/>
                <w:sz w:val="10"/>
                <w:szCs w:val="10"/>
                <w:color w:val="auto"/>
                <w:w w:val="96"/>
              </w:rPr>
              <w:t>Three Months Ended</w:t>
            </w:r>
          </w:p>
        </w:tc>
        <w:tc>
          <w:tcPr>
            <w:tcW w:w="720" w:type="dxa"/>
            <w:vAlign w:val="bottom"/>
          </w:tcPr>
          <w:p>
            <w:pPr>
              <w:spacing w:after="0"/>
              <w:rPr>
                <w:sz w:val="10"/>
                <w:szCs w:val="10"/>
                <w:color w:val="auto"/>
              </w:rPr>
            </w:pPr>
          </w:p>
        </w:tc>
      </w:tr>
      <w:tr>
        <w:trPr>
          <w:trHeight w:val="126"/>
        </w:trPr>
        <w:tc>
          <w:tcPr>
            <w:tcW w:w="2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0"/>
                <w:szCs w:val="10"/>
                <w:b w:val="1"/>
                <w:bCs w:val="1"/>
                <w:color w:val="auto"/>
                <w:w w:val="95"/>
              </w:rPr>
              <w:t>March 31, 2026</w:t>
            </w: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jc w:val="center"/>
              <w:ind w:left="552"/>
              <w:spacing w:after="0"/>
              <w:rPr>
                <w:sz w:val="20"/>
                <w:szCs w:val="20"/>
                <w:color w:val="auto"/>
              </w:rPr>
            </w:pPr>
            <w:r>
              <w:rPr>
                <w:rFonts w:ascii="Arial" w:cs="Arial" w:eastAsia="Arial" w:hAnsi="Arial"/>
                <w:sz w:val="10"/>
                <w:szCs w:val="10"/>
                <w:color w:val="auto"/>
                <w:w w:val="97"/>
              </w:rPr>
              <w:t>December 31, 2025</w:t>
            </w: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0"/>
                <w:szCs w:val="10"/>
                <w:color w:val="auto"/>
                <w:w w:val="97"/>
              </w:rPr>
              <w:t>March 31, 2025</w:t>
            </w:r>
          </w:p>
        </w:tc>
        <w:tc>
          <w:tcPr>
            <w:tcW w:w="720" w:type="dxa"/>
            <w:vAlign w:val="bottom"/>
            <w:tcBorders>
              <w:bottom w:val="single" w:sz="8" w:color="auto"/>
            </w:tcBorders>
          </w:tcPr>
          <w:p>
            <w:pPr>
              <w:spacing w:after="0"/>
              <w:rPr>
                <w:sz w:val="10"/>
                <w:szCs w:val="10"/>
                <w:color w:val="auto"/>
              </w:rPr>
            </w:pPr>
          </w:p>
        </w:tc>
      </w:tr>
      <w:tr>
        <w:trPr>
          <w:trHeight w:val="88"/>
        </w:trPr>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ind w:right="172"/>
              <w:spacing w:after="0" w:line="88" w:lineRule="exact"/>
              <w:rPr>
                <w:sz w:val="20"/>
                <w:szCs w:val="20"/>
                <w:color w:val="auto"/>
              </w:rPr>
            </w:pPr>
            <w:r>
              <w:rPr>
                <w:rFonts w:ascii="Arial" w:cs="Arial" w:eastAsia="Arial" w:hAnsi="Arial"/>
                <w:sz w:val="10"/>
                <w:szCs w:val="10"/>
                <w:b w:val="1"/>
                <w:bCs w:val="1"/>
                <w:color w:val="auto"/>
              </w:rPr>
              <w:t>Average</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tcPr>
          <w:p>
            <w:pPr>
              <w:jc w:val="center"/>
              <w:ind w:right="260"/>
              <w:spacing w:after="0" w:line="88" w:lineRule="exact"/>
              <w:rPr>
                <w:sz w:val="20"/>
                <w:szCs w:val="20"/>
                <w:color w:val="auto"/>
              </w:rPr>
            </w:pPr>
            <w:r>
              <w:rPr>
                <w:rFonts w:ascii="Arial" w:cs="Arial" w:eastAsia="Arial" w:hAnsi="Arial"/>
                <w:sz w:val="10"/>
                <w:szCs w:val="10"/>
                <w:b w:val="1"/>
                <w:bCs w:val="1"/>
                <w:color w:val="auto"/>
                <w:w w:val="99"/>
              </w:rPr>
              <w:t>Interest</w:t>
            </w:r>
          </w:p>
        </w:tc>
        <w:tc>
          <w:tcPr>
            <w:tcW w:w="620" w:type="dxa"/>
            <w:vAlign w:val="bottom"/>
          </w:tcPr>
          <w:p>
            <w:pPr>
              <w:jc w:val="center"/>
              <w:ind w:right="72"/>
              <w:spacing w:after="0" w:line="88" w:lineRule="exact"/>
              <w:rPr>
                <w:sz w:val="20"/>
                <w:szCs w:val="20"/>
                <w:color w:val="auto"/>
              </w:rPr>
            </w:pPr>
            <w:r>
              <w:rPr>
                <w:rFonts w:ascii="Arial" w:cs="Arial" w:eastAsia="Arial" w:hAnsi="Arial"/>
                <w:sz w:val="10"/>
                <w:szCs w:val="10"/>
                <w:b w:val="1"/>
                <w:bCs w:val="1"/>
                <w:color w:val="auto"/>
                <w:w w:val="96"/>
              </w:rPr>
              <w:t>Average</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right"/>
              <w:ind w:right="232"/>
              <w:spacing w:after="0" w:line="88" w:lineRule="exact"/>
              <w:rPr>
                <w:sz w:val="20"/>
                <w:szCs w:val="20"/>
                <w:color w:val="auto"/>
              </w:rPr>
            </w:pPr>
            <w:r>
              <w:rPr>
                <w:rFonts w:ascii="Arial" w:cs="Arial" w:eastAsia="Arial" w:hAnsi="Arial"/>
                <w:sz w:val="10"/>
                <w:szCs w:val="10"/>
                <w:color w:val="auto"/>
              </w:rPr>
              <w:t>Average</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center"/>
              <w:ind w:right="180"/>
              <w:spacing w:after="0" w:line="88" w:lineRule="exact"/>
              <w:rPr>
                <w:sz w:val="20"/>
                <w:szCs w:val="20"/>
                <w:color w:val="auto"/>
              </w:rPr>
            </w:pPr>
            <w:r>
              <w:rPr>
                <w:rFonts w:ascii="Arial" w:cs="Arial" w:eastAsia="Arial" w:hAnsi="Arial"/>
                <w:sz w:val="10"/>
                <w:szCs w:val="10"/>
                <w:color w:val="auto"/>
                <w:w w:val="95"/>
              </w:rPr>
              <w:t>Interest</w:t>
            </w:r>
          </w:p>
        </w:tc>
        <w:tc>
          <w:tcPr>
            <w:tcW w:w="720" w:type="dxa"/>
            <w:vAlign w:val="bottom"/>
          </w:tcPr>
          <w:p>
            <w:pPr>
              <w:ind w:left="160"/>
              <w:spacing w:after="0" w:line="88" w:lineRule="exact"/>
              <w:rPr>
                <w:sz w:val="20"/>
                <w:szCs w:val="20"/>
                <w:color w:val="auto"/>
              </w:rPr>
            </w:pPr>
            <w:r>
              <w:rPr>
                <w:rFonts w:ascii="Arial" w:cs="Arial" w:eastAsia="Arial" w:hAnsi="Arial"/>
                <w:sz w:val="10"/>
                <w:szCs w:val="10"/>
                <w:color w:val="auto"/>
              </w:rPr>
              <w:t>Average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jc w:val="right"/>
              <w:ind w:right="212"/>
              <w:spacing w:after="0" w:line="88" w:lineRule="exact"/>
              <w:rPr>
                <w:sz w:val="20"/>
                <w:szCs w:val="20"/>
                <w:color w:val="auto"/>
              </w:rPr>
            </w:pPr>
            <w:r>
              <w:rPr>
                <w:rFonts w:ascii="Arial" w:cs="Arial" w:eastAsia="Arial" w:hAnsi="Arial"/>
                <w:sz w:val="10"/>
                <w:szCs w:val="10"/>
                <w:color w:val="auto"/>
              </w:rPr>
              <w:t>Average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center"/>
              <w:ind w:right="160"/>
              <w:spacing w:after="0" w:line="88" w:lineRule="exact"/>
              <w:rPr>
                <w:sz w:val="20"/>
                <w:szCs w:val="20"/>
                <w:color w:val="auto"/>
              </w:rPr>
            </w:pPr>
            <w:r>
              <w:rPr>
                <w:rFonts w:ascii="Arial" w:cs="Arial" w:eastAsia="Arial" w:hAnsi="Arial"/>
                <w:sz w:val="10"/>
                <w:szCs w:val="10"/>
                <w:color w:val="auto"/>
                <w:w w:val="95"/>
              </w:rPr>
              <w:t>Interest</w:t>
            </w:r>
          </w:p>
        </w:tc>
        <w:tc>
          <w:tcPr>
            <w:tcW w:w="720" w:type="dxa"/>
            <w:vAlign w:val="bottom"/>
          </w:tcPr>
          <w:p>
            <w:pPr>
              <w:jc w:val="right"/>
              <w:ind w:right="152"/>
              <w:spacing w:after="0" w:line="88" w:lineRule="exact"/>
              <w:rPr>
                <w:sz w:val="20"/>
                <w:szCs w:val="20"/>
                <w:color w:val="auto"/>
              </w:rPr>
            </w:pPr>
            <w:r>
              <w:rPr>
                <w:rFonts w:ascii="Arial" w:cs="Arial" w:eastAsia="Arial" w:hAnsi="Arial"/>
                <w:sz w:val="10"/>
                <w:szCs w:val="10"/>
                <w:color w:val="auto"/>
              </w:rPr>
              <w:t>Average</w:t>
            </w:r>
          </w:p>
        </w:tc>
      </w:tr>
      <w:tr>
        <w:trPr>
          <w:trHeight w:val="91"/>
        </w:trPr>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ind w:right="92"/>
              <w:spacing w:after="0" w:line="91" w:lineRule="exact"/>
              <w:rPr>
                <w:sz w:val="20"/>
                <w:szCs w:val="20"/>
                <w:color w:val="auto"/>
              </w:rPr>
            </w:pPr>
            <w:r>
              <w:rPr>
                <w:rFonts w:ascii="Arial" w:cs="Arial" w:eastAsia="Arial" w:hAnsi="Arial"/>
                <w:sz w:val="10"/>
                <w:szCs w:val="10"/>
                <w:b w:val="1"/>
                <w:bCs w:val="1"/>
                <w:color w:val="auto"/>
                <w:w w:val="98"/>
              </w:rPr>
              <w:t>Outstanding</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tcPr>
          <w:p>
            <w:pPr>
              <w:jc w:val="center"/>
              <w:ind w:right="300"/>
              <w:spacing w:after="0" w:line="91" w:lineRule="exact"/>
              <w:rPr>
                <w:sz w:val="20"/>
                <w:szCs w:val="20"/>
                <w:color w:val="auto"/>
              </w:rPr>
            </w:pPr>
            <w:r>
              <w:rPr>
                <w:rFonts w:ascii="Arial" w:cs="Arial" w:eastAsia="Arial" w:hAnsi="Arial"/>
                <w:sz w:val="10"/>
                <w:szCs w:val="10"/>
                <w:b w:val="1"/>
                <w:bCs w:val="1"/>
                <w:color w:val="auto"/>
                <w:w w:val="95"/>
              </w:rPr>
              <w:t>Income/</w:t>
            </w:r>
          </w:p>
        </w:tc>
        <w:tc>
          <w:tcPr>
            <w:tcW w:w="620" w:type="dxa"/>
            <w:vAlign w:val="bottom"/>
          </w:tcPr>
          <w:p>
            <w:pPr>
              <w:jc w:val="center"/>
              <w:ind w:right="72"/>
              <w:spacing w:after="0" w:line="91" w:lineRule="exact"/>
              <w:rPr>
                <w:sz w:val="20"/>
                <w:szCs w:val="20"/>
                <w:color w:val="auto"/>
              </w:rPr>
            </w:pPr>
            <w:r>
              <w:rPr>
                <w:rFonts w:ascii="Arial" w:cs="Arial" w:eastAsia="Arial" w:hAnsi="Arial"/>
                <w:sz w:val="10"/>
                <w:szCs w:val="10"/>
                <w:b w:val="1"/>
                <w:bCs w:val="1"/>
                <w:color w:val="auto"/>
                <w:w w:val="97"/>
              </w:rPr>
              <w:t>Yield/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right"/>
              <w:ind w:right="152"/>
              <w:spacing w:after="0" w:line="91" w:lineRule="exact"/>
              <w:rPr>
                <w:sz w:val="20"/>
                <w:szCs w:val="20"/>
                <w:color w:val="auto"/>
              </w:rPr>
            </w:pPr>
            <w:r>
              <w:rPr>
                <w:rFonts w:ascii="Arial" w:cs="Arial" w:eastAsia="Arial" w:hAnsi="Arial"/>
                <w:sz w:val="10"/>
                <w:szCs w:val="10"/>
                <w:color w:val="auto"/>
              </w:rPr>
              <w:t>Outstanding</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center"/>
              <w:ind w:right="200"/>
              <w:spacing w:after="0" w:line="91" w:lineRule="exact"/>
              <w:rPr>
                <w:sz w:val="20"/>
                <w:szCs w:val="20"/>
                <w:color w:val="auto"/>
              </w:rPr>
            </w:pPr>
            <w:r>
              <w:rPr>
                <w:rFonts w:ascii="Arial" w:cs="Arial" w:eastAsia="Arial" w:hAnsi="Arial"/>
                <w:sz w:val="10"/>
                <w:szCs w:val="10"/>
                <w:color w:val="auto"/>
                <w:w w:val="95"/>
              </w:rPr>
              <w:t>Income/</w:t>
            </w:r>
          </w:p>
        </w:tc>
        <w:tc>
          <w:tcPr>
            <w:tcW w:w="720" w:type="dxa"/>
            <w:vAlign w:val="bottom"/>
          </w:tcPr>
          <w:p>
            <w:pPr>
              <w:ind w:left="220"/>
              <w:spacing w:after="0" w:line="91" w:lineRule="exact"/>
              <w:rPr>
                <w:sz w:val="20"/>
                <w:szCs w:val="20"/>
                <w:color w:val="auto"/>
              </w:rPr>
            </w:pPr>
            <w:r>
              <w:rPr>
                <w:rFonts w:ascii="Arial" w:cs="Arial" w:eastAsia="Arial" w:hAnsi="Arial"/>
                <w:sz w:val="10"/>
                <w:szCs w:val="10"/>
                <w:color w:val="auto"/>
              </w:rPr>
              <w:t>Yield/</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jc w:val="right"/>
              <w:ind w:right="112"/>
              <w:spacing w:after="0" w:line="91" w:lineRule="exact"/>
              <w:rPr>
                <w:sz w:val="20"/>
                <w:szCs w:val="20"/>
                <w:color w:val="auto"/>
              </w:rPr>
            </w:pPr>
            <w:r>
              <w:rPr>
                <w:rFonts w:ascii="Arial" w:cs="Arial" w:eastAsia="Arial" w:hAnsi="Arial"/>
                <w:sz w:val="10"/>
                <w:szCs w:val="10"/>
                <w:color w:val="auto"/>
              </w:rPr>
              <w:t>Outstanding</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center"/>
              <w:ind w:right="200"/>
              <w:spacing w:after="0" w:line="91" w:lineRule="exact"/>
              <w:rPr>
                <w:sz w:val="20"/>
                <w:szCs w:val="20"/>
                <w:color w:val="auto"/>
              </w:rPr>
            </w:pPr>
            <w:r>
              <w:rPr>
                <w:rFonts w:ascii="Arial" w:cs="Arial" w:eastAsia="Arial" w:hAnsi="Arial"/>
                <w:sz w:val="10"/>
                <w:szCs w:val="10"/>
                <w:color w:val="auto"/>
              </w:rPr>
              <w:t>Income/</w:t>
            </w:r>
          </w:p>
        </w:tc>
        <w:tc>
          <w:tcPr>
            <w:tcW w:w="720" w:type="dxa"/>
            <w:vAlign w:val="bottom"/>
          </w:tcPr>
          <w:p>
            <w:pPr>
              <w:jc w:val="right"/>
              <w:ind w:right="212"/>
              <w:spacing w:after="0" w:line="91" w:lineRule="exact"/>
              <w:rPr>
                <w:sz w:val="20"/>
                <w:szCs w:val="20"/>
                <w:color w:val="auto"/>
              </w:rPr>
            </w:pPr>
            <w:r>
              <w:rPr>
                <w:rFonts w:ascii="Arial" w:cs="Arial" w:eastAsia="Arial" w:hAnsi="Arial"/>
                <w:sz w:val="10"/>
                <w:szCs w:val="10"/>
                <w:color w:val="auto"/>
              </w:rPr>
              <w:t>Yield/</w:t>
            </w:r>
          </w:p>
        </w:tc>
      </w:tr>
      <w:tr>
        <w:trPr>
          <w:trHeight w:val="134"/>
        </w:trPr>
        <w:tc>
          <w:tcPr>
            <w:tcW w:w="2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Balance</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97"/>
              </w:rPr>
              <w:t>Expense</w:t>
            </w:r>
          </w:p>
        </w:tc>
        <w:tc>
          <w:tcPr>
            <w:tcW w:w="620" w:type="dxa"/>
            <w:vAlign w:val="bottom"/>
            <w:tcBorders>
              <w:bottom w:val="single" w:sz="8" w:color="auto"/>
            </w:tcBorders>
          </w:tcPr>
          <w:p>
            <w:pPr>
              <w:jc w:val="center"/>
              <w:ind w:right="32"/>
              <w:spacing w:after="0" w:line="134" w:lineRule="exact"/>
              <w:rPr>
                <w:sz w:val="20"/>
                <w:szCs w:val="20"/>
                <w:color w:val="auto"/>
              </w:rPr>
            </w:pPr>
            <w:r>
              <w:rPr>
                <w:rFonts w:ascii="Arial" w:cs="Arial" w:eastAsia="Arial" w:hAnsi="Arial"/>
                <w:sz w:val="10"/>
                <w:szCs w:val="10"/>
                <w:b w:val="1"/>
                <w:bCs w:val="1"/>
                <w:color w:val="auto"/>
                <w:w w:val="95"/>
              </w:rPr>
              <w:t>Rate</w:t>
            </w:r>
            <w:r>
              <w:rPr>
                <w:rFonts w:ascii="Arial" w:cs="Arial" w:eastAsia="Arial" w:hAnsi="Arial"/>
                <w:sz w:val="12"/>
                <w:szCs w:val="12"/>
                <w:b w:val="1"/>
                <w:bCs w:val="1"/>
                <w:color w:val="auto"/>
                <w:w w:val="95"/>
                <w:vertAlign w:val="superscript"/>
              </w:rPr>
              <w:t>(1)</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Balance</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color w:val="auto"/>
                <w:w w:val="97"/>
              </w:rPr>
              <w:t>Expense</w:t>
            </w:r>
          </w:p>
        </w:tc>
        <w:tc>
          <w:tcPr>
            <w:tcW w:w="720" w:type="dxa"/>
            <w:vAlign w:val="bottom"/>
            <w:tcBorders>
              <w:bottom w:val="single" w:sz="8" w:color="auto"/>
            </w:tcBorders>
          </w:tcPr>
          <w:p>
            <w:pPr>
              <w:ind w:left="220"/>
              <w:spacing w:after="0" w:line="134" w:lineRule="exact"/>
              <w:rPr>
                <w:sz w:val="20"/>
                <w:szCs w:val="20"/>
                <w:color w:val="auto"/>
              </w:rPr>
            </w:pPr>
            <w:r>
              <w:rPr>
                <w:rFonts w:ascii="Arial" w:cs="Arial" w:eastAsia="Arial" w:hAnsi="Arial"/>
                <w:sz w:val="10"/>
                <w:szCs w:val="10"/>
                <w:color w:val="auto"/>
              </w:rPr>
              <w:t>Rate</w:t>
            </w:r>
            <w:r>
              <w:rPr>
                <w:rFonts w:ascii="Arial" w:cs="Arial" w:eastAsia="Arial" w:hAnsi="Arial"/>
                <w:sz w:val="12"/>
                <w:szCs w:val="12"/>
                <w:color w:val="auto"/>
                <w:vertAlign w:val="superscript"/>
              </w:rPr>
              <w:t>(1)</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Balance</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color w:val="auto"/>
                <w:w w:val="97"/>
              </w:rPr>
              <w:t>Expense</w:t>
            </w:r>
          </w:p>
        </w:tc>
        <w:tc>
          <w:tcPr>
            <w:tcW w:w="720" w:type="dxa"/>
            <w:vAlign w:val="bottom"/>
            <w:tcBorders>
              <w:bottom w:val="single" w:sz="8" w:color="auto"/>
            </w:tcBorders>
          </w:tcPr>
          <w:p>
            <w:pPr>
              <w:jc w:val="right"/>
              <w:ind w:right="172"/>
              <w:spacing w:after="0" w:line="134" w:lineRule="exact"/>
              <w:rPr>
                <w:sz w:val="20"/>
                <w:szCs w:val="20"/>
                <w:color w:val="auto"/>
              </w:rPr>
            </w:pPr>
            <w:r>
              <w:rPr>
                <w:rFonts w:ascii="Arial" w:cs="Arial" w:eastAsia="Arial" w:hAnsi="Arial"/>
                <w:sz w:val="10"/>
                <w:szCs w:val="10"/>
                <w:color w:val="auto"/>
              </w:rPr>
              <w:t>Rate</w:t>
            </w:r>
            <w:r>
              <w:rPr>
                <w:rFonts w:ascii="Arial" w:cs="Arial" w:eastAsia="Arial" w:hAnsi="Arial"/>
                <w:sz w:val="12"/>
                <w:szCs w:val="12"/>
                <w:color w:val="auto"/>
                <w:vertAlign w:val="superscript"/>
              </w:rPr>
              <w:t>(1)</w:t>
            </w:r>
          </w:p>
        </w:tc>
      </w:tr>
      <w:tr>
        <w:trPr>
          <w:trHeight w:val="92"/>
        </w:trPr>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gridSpan w:val="4"/>
          </w:tcPr>
          <w:p>
            <w:pPr>
              <w:ind w:left="60"/>
              <w:spacing w:after="0"/>
              <w:rPr>
                <w:sz w:val="20"/>
                <w:szCs w:val="20"/>
                <w:color w:val="auto"/>
              </w:rPr>
            </w:pPr>
            <w:r>
              <w:rPr>
                <w:rFonts w:ascii="Arial" w:cs="Arial" w:eastAsia="Arial" w:hAnsi="Arial"/>
                <w:sz w:val="7"/>
                <w:szCs w:val="7"/>
                <w:b w:val="1"/>
                <w:bCs w:val="1"/>
                <w:color w:val="auto"/>
              </w:rPr>
              <w:t>(in thousands)</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40"/>
        </w:trPr>
        <w:tc>
          <w:tcPr>
            <w:tcW w:w="26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32"/>
        </w:trPr>
        <w:tc>
          <w:tcPr>
            <w:tcW w:w="2620" w:type="dxa"/>
            <w:vAlign w:val="bottom"/>
          </w:tcPr>
          <w:p>
            <w:pPr>
              <w:ind w:left="20"/>
              <w:spacing w:after="0"/>
              <w:rPr>
                <w:sz w:val="20"/>
                <w:szCs w:val="20"/>
                <w:color w:val="auto"/>
              </w:rPr>
            </w:pPr>
            <w:r>
              <w:rPr>
                <w:rFonts w:ascii="Arial" w:cs="Arial" w:eastAsia="Arial" w:hAnsi="Arial"/>
                <w:sz w:val="10"/>
                <w:szCs w:val="10"/>
                <w:color w:val="auto"/>
              </w:rPr>
              <w:t>Interest earning assets: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246,346</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0"/>
                <w:szCs w:val="10"/>
                <w:b w:val="1"/>
                <w:bCs w:val="1"/>
                <w:color w:val="auto"/>
                <w:w w:val="89"/>
              </w:rPr>
              <w:t>3.62 %</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196,281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0"/>
                <w:szCs w:val="10"/>
                <w:color w:val="auto"/>
                <w:w w:val="96"/>
              </w:rPr>
              <w:t>3.78 %</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203,053</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2,138</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4.27 %</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Federal funds sold</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60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320"/>
              <w:spacing w:after="0"/>
              <w:rPr>
                <w:sz w:val="20"/>
                <w:szCs w:val="20"/>
                <w:color w:val="auto"/>
              </w:rPr>
            </w:pPr>
            <w:r>
              <w:rPr>
                <w:rFonts w:ascii="Arial" w:cs="Arial" w:eastAsia="Arial" w:hAnsi="Arial"/>
                <w:sz w:val="10"/>
                <w:szCs w:val="10"/>
                <w:b w:val="1"/>
                <w:bCs w:val="1"/>
                <w:color w:val="auto"/>
              </w:rPr>
              <w:t>6.76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720" w:type="dxa"/>
            <w:vAlign w:val="bottom"/>
          </w:tcPr>
          <w:p>
            <w:pPr>
              <w:ind w:left="400"/>
              <w:spacing w:after="0"/>
              <w:rPr>
                <w:sz w:val="20"/>
                <w:szCs w:val="20"/>
                <w:color w:val="auto"/>
              </w:rPr>
            </w:pPr>
            <w:r>
              <w:rPr>
                <w:rFonts w:ascii="Arial" w:cs="Arial" w:eastAsia="Arial" w:hAnsi="Arial"/>
                <w:sz w:val="10"/>
                <w:szCs w:val="10"/>
                <w:color w:val="auto"/>
              </w:rPr>
              <w:t>6.61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6.99</w:t>
            </w: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Investment securities available-for-sale</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233,165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1,459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0"/>
                <w:szCs w:val="10"/>
                <w:b w:val="1"/>
                <w:bCs w:val="1"/>
                <w:color w:val="auto"/>
              </w:rPr>
              <w:t>2.54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238,295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1,728</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0"/>
                <w:szCs w:val="10"/>
                <w:color w:val="auto"/>
              </w:rPr>
              <w:t>2.88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235,605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1,861</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3.20</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Restricted investments</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8,441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124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320"/>
              <w:spacing w:after="0"/>
              <w:rPr>
                <w:sz w:val="20"/>
                <w:szCs w:val="20"/>
                <w:color w:val="auto"/>
              </w:rPr>
            </w:pPr>
            <w:r>
              <w:rPr>
                <w:rFonts w:ascii="Arial" w:cs="Arial" w:eastAsia="Arial" w:hAnsi="Arial"/>
                <w:sz w:val="10"/>
                <w:szCs w:val="10"/>
                <w:b w:val="1"/>
                <w:bCs w:val="1"/>
                <w:color w:val="auto"/>
              </w:rPr>
              <w:t>5.96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6,725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104</w:t>
            </w:r>
          </w:p>
        </w:tc>
        <w:tc>
          <w:tcPr>
            <w:tcW w:w="80" w:type="dxa"/>
            <w:vAlign w:val="bottom"/>
          </w:tcPr>
          <w:p>
            <w:pPr>
              <w:spacing w:after="0"/>
              <w:rPr>
                <w:sz w:val="11"/>
                <w:szCs w:val="11"/>
                <w:color w:val="auto"/>
              </w:rPr>
            </w:pPr>
          </w:p>
        </w:tc>
        <w:tc>
          <w:tcPr>
            <w:tcW w:w="720" w:type="dxa"/>
            <w:vAlign w:val="bottom"/>
          </w:tcPr>
          <w:p>
            <w:pPr>
              <w:ind w:left="400"/>
              <w:spacing w:after="0"/>
              <w:rPr>
                <w:sz w:val="20"/>
                <w:szCs w:val="20"/>
                <w:color w:val="auto"/>
              </w:rPr>
            </w:pPr>
            <w:r>
              <w:rPr>
                <w:rFonts w:ascii="Arial" w:cs="Arial" w:eastAsia="Arial" w:hAnsi="Arial"/>
                <w:sz w:val="10"/>
                <w:szCs w:val="10"/>
                <w:color w:val="auto"/>
              </w:rPr>
              <w:t>6.14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5,761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69</w:t>
            </w:r>
          </w:p>
        </w:tc>
        <w:tc>
          <w:tcPr>
            <w:tcW w:w="60" w:type="dxa"/>
            <w:vAlign w:val="bottom"/>
          </w:tcPr>
          <w:p>
            <w:pPr>
              <w:spacing w:after="0"/>
              <w:rPr>
                <w:sz w:val="11"/>
                <w:szCs w:val="11"/>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4.86</w:t>
            </w: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Loans held for sale</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12,916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0"/>
                <w:szCs w:val="10"/>
                <w:b w:val="1"/>
                <w:bCs w:val="1"/>
                <w:color w:val="auto"/>
              </w:rPr>
              <w:t>5.56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17,118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0"/>
                <w:szCs w:val="10"/>
                <w:color w:val="auto"/>
              </w:rPr>
              <w:t>6.10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9,356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238</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10.32</w:t>
            </w:r>
          </w:p>
        </w:tc>
      </w:tr>
      <w:tr>
        <w:trPr>
          <w:trHeight w:val="135"/>
        </w:trPr>
        <w:tc>
          <w:tcPr>
            <w:tcW w:w="262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0"/>
                <w:szCs w:val="10"/>
                <w:color w:val="auto"/>
              </w:rPr>
              <w:t>Portfolio loans receivable</w:t>
            </w:r>
            <w:r>
              <w:rPr>
                <w:rFonts w:ascii="Arial" w:cs="Arial" w:eastAsia="Arial" w:hAnsi="Arial"/>
                <w:sz w:val="12"/>
                <w:szCs w:val="12"/>
                <w:color w:val="auto"/>
                <w:vertAlign w:val="superscript"/>
              </w:rPr>
              <w:t>(2)(3)</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3,008,187</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64,009</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8.63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2,902,033</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64,670</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0"/>
                <w:szCs w:val="10"/>
                <w:color w:val="auto"/>
              </w:rPr>
              <w:t>8.84</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2,634,110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58,453</w:t>
            </w: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9.00</w:t>
            </w:r>
          </w:p>
        </w:tc>
      </w:tr>
      <w:tr>
        <w:trPr>
          <w:trHeight w:val="124"/>
        </w:trPr>
        <w:tc>
          <w:tcPr>
            <w:tcW w:w="26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Total interest earning assets</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3,509,115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67,970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0"/>
                <w:szCs w:val="10"/>
                <w:b w:val="1"/>
                <w:bCs w:val="1"/>
                <w:color w:val="auto"/>
              </w:rPr>
              <w:t>7.86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3,360,512</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68,634</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0"/>
                <w:szCs w:val="10"/>
                <w:color w:val="auto"/>
              </w:rPr>
              <w:t>8.10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3,087,943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62,760</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8.24</w:t>
            </w:r>
          </w:p>
        </w:tc>
      </w:tr>
      <w:tr>
        <w:trPr>
          <w:trHeight w:val="114"/>
        </w:trPr>
        <w:tc>
          <w:tcPr>
            <w:tcW w:w="2620" w:type="dxa"/>
            <w:vAlign w:val="bottom"/>
            <w:tcBorders>
              <w:bottom w:val="single" w:sz="8" w:color="CCEEFF"/>
            </w:tcBorders>
          </w:tcPr>
          <w:p>
            <w:pPr>
              <w:ind w:left="20"/>
              <w:spacing w:after="0" w:line="109" w:lineRule="exact"/>
              <w:rPr>
                <w:sz w:val="20"/>
                <w:szCs w:val="20"/>
                <w:color w:val="auto"/>
              </w:rPr>
            </w:pPr>
            <w:r>
              <w:rPr>
                <w:rFonts w:ascii="Arial" w:cs="Arial" w:eastAsia="Arial" w:hAnsi="Arial"/>
                <w:sz w:val="10"/>
                <w:szCs w:val="10"/>
                <w:color w:val="auto"/>
              </w:rPr>
              <w:t>Noninterest earning assets</w:t>
            </w: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142,697</w:t>
            </w: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2"/>
              <w:spacing w:after="0" w:line="109" w:lineRule="exact"/>
              <w:rPr>
                <w:sz w:val="20"/>
                <w:szCs w:val="20"/>
                <w:color w:val="auto"/>
              </w:rPr>
            </w:pPr>
            <w:r>
              <w:rPr>
                <w:rFonts w:ascii="Arial" w:cs="Arial" w:eastAsia="Arial" w:hAnsi="Arial"/>
                <w:sz w:val="10"/>
                <w:szCs w:val="10"/>
                <w:color w:val="auto"/>
              </w:rPr>
              <w:t>138,028</w:t>
            </w: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134,021</w:t>
            </w: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r>
      <w:tr>
        <w:trPr>
          <w:trHeight w:val="141"/>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3,651,812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3,498,540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3,221,964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54"/>
        </w:trPr>
        <w:tc>
          <w:tcPr>
            <w:tcW w:w="262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r>
      <w:tr>
        <w:trPr>
          <w:trHeight w:val="135"/>
        </w:trPr>
        <w:tc>
          <w:tcPr>
            <w:tcW w:w="26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Liabilities and Stockholders’ Equity</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2"/>
        </w:trPr>
        <w:tc>
          <w:tcPr>
            <w:tcW w:w="2620" w:type="dxa"/>
            <w:vAlign w:val="bottom"/>
          </w:tcPr>
          <w:p>
            <w:pPr>
              <w:ind w:left="20"/>
              <w:spacing w:after="0"/>
              <w:rPr>
                <w:sz w:val="20"/>
                <w:szCs w:val="20"/>
                <w:color w:val="auto"/>
              </w:rPr>
            </w:pPr>
            <w:r>
              <w:rPr>
                <w:rFonts w:ascii="Arial" w:cs="Arial" w:eastAsia="Arial" w:hAnsi="Arial"/>
                <w:sz w:val="10"/>
                <w:szCs w:val="10"/>
                <w:color w:val="auto"/>
              </w:rPr>
              <w:t>Interest-bearing liabilities: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demand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263,645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0"/>
                <w:szCs w:val="10"/>
                <w:b w:val="1"/>
                <w:bCs w:val="1"/>
                <w:color w:val="auto"/>
              </w:rPr>
              <w:t>0.64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269,342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0"/>
                <w:szCs w:val="10"/>
                <w:color w:val="auto"/>
              </w:rPr>
              <w:t>0.54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242,355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368</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0.62</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Savings</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13,701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320"/>
              <w:spacing w:after="0"/>
              <w:rPr>
                <w:sz w:val="20"/>
                <w:szCs w:val="20"/>
                <w:color w:val="auto"/>
              </w:rPr>
            </w:pPr>
            <w:r>
              <w:rPr>
                <w:rFonts w:ascii="Arial" w:cs="Arial" w:eastAsia="Arial" w:hAnsi="Arial"/>
                <w:sz w:val="10"/>
                <w:szCs w:val="10"/>
                <w:b w:val="1"/>
                <w:bCs w:val="1"/>
                <w:color w:val="auto"/>
              </w:rPr>
              <w:t>0.89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12,033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1"/>
                <w:szCs w:val="11"/>
                <w:color w:val="auto"/>
              </w:rPr>
            </w:pPr>
          </w:p>
        </w:tc>
        <w:tc>
          <w:tcPr>
            <w:tcW w:w="720" w:type="dxa"/>
            <w:vAlign w:val="bottom"/>
          </w:tcPr>
          <w:p>
            <w:pPr>
              <w:ind w:left="400"/>
              <w:spacing w:after="0"/>
              <w:rPr>
                <w:sz w:val="20"/>
                <w:szCs w:val="20"/>
                <w:color w:val="auto"/>
              </w:rPr>
            </w:pPr>
            <w:r>
              <w:rPr>
                <w:rFonts w:ascii="Arial" w:cs="Arial" w:eastAsia="Arial" w:hAnsi="Arial"/>
                <w:sz w:val="10"/>
                <w:szCs w:val="10"/>
                <w:color w:val="auto"/>
              </w:rPr>
              <w:t>0.36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13,204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60" w:type="dxa"/>
            <w:vAlign w:val="bottom"/>
          </w:tcPr>
          <w:p>
            <w:pPr>
              <w:spacing w:after="0"/>
              <w:rPr>
                <w:sz w:val="11"/>
                <w:szCs w:val="11"/>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0.55</w:t>
            </w: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Money market accounts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1,189,642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9,479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0"/>
                <w:szCs w:val="10"/>
                <w:b w:val="1"/>
                <w:bCs w:val="1"/>
                <w:color w:val="auto"/>
              </w:rPr>
              <w:t>3.23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1,061,293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9,124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0"/>
                <w:szCs w:val="10"/>
                <w:color w:val="auto"/>
              </w:rPr>
              <w:t>3.41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869,978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7,399</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3.45</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Time deposits</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842,137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8,147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320"/>
              <w:spacing w:after="0"/>
              <w:rPr>
                <w:sz w:val="20"/>
                <w:szCs w:val="20"/>
                <w:color w:val="auto"/>
              </w:rPr>
            </w:pPr>
            <w:r>
              <w:rPr>
                <w:rFonts w:ascii="Arial" w:cs="Arial" w:eastAsia="Arial" w:hAnsi="Arial"/>
                <w:sz w:val="10"/>
                <w:szCs w:val="10"/>
                <w:b w:val="1"/>
                <w:bCs w:val="1"/>
                <w:color w:val="auto"/>
              </w:rPr>
              <w:t>3.92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812,186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8,304</w:t>
            </w:r>
          </w:p>
        </w:tc>
        <w:tc>
          <w:tcPr>
            <w:tcW w:w="80" w:type="dxa"/>
            <w:vAlign w:val="bottom"/>
          </w:tcPr>
          <w:p>
            <w:pPr>
              <w:spacing w:after="0"/>
              <w:rPr>
                <w:sz w:val="11"/>
                <w:szCs w:val="11"/>
                <w:color w:val="auto"/>
              </w:rPr>
            </w:pPr>
          </w:p>
        </w:tc>
        <w:tc>
          <w:tcPr>
            <w:tcW w:w="720" w:type="dxa"/>
            <w:vAlign w:val="bottom"/>
          </w:tcPr>
          <w:p>
            <w:pPr>
              <w:ind w:left="400"/>
              <w:spacing w:after="0"/>
              <w:rPr>
                <w:sz w:val="20"/>
                <w:szCs w:val="20"/>
                <w:color w:val="auto"/>
              </w:rPr>
            </w:pPr>
            <w:r>
              <w:rPr>
                <w:rFonts w:ascii="Arial" w:cs="Arial" w:eastAsia="Arial" w:hAnsi="Arial"/>
                <w:sz w:val="10"/>
                <w:szCs w:val="10"/>
                <w:color w:val="auto"/>
              </w:rPr>
              <w:t>4.06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859,729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8,727</w:t>
            </w:r>
          </w:p>
        </w:tc>
        <w:tc>
          <w:tcPr>
            <w:tcW w:w="60" w:type="dxa"/>
            <w:vAlign w:val="bottom"/>
          </w:tcPr>
          <w:p>
            <w:pPr>
              <w:spacing w:after="0"/>
              <w:rPr>
                <w:sz w:val="11"/>
                <w:szCs w:val="11"/>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4.12</w:t>
            </w: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Borrowed funds</w:t>
            </w: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52,062</w:t>
            </w: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502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0"/>
                <w:szCs w:val="10"/>
                <w:b w:val="1"/>
                <w:bCs w:val="1"/>
                <w:color w:val="auto"/>
              </w:rPr>
              <w:t>3.91</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46,497</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550</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0"/>
                <w:szCs w:val="10"/>
                <w:color w:val="auto"/>
              </w:rPr>
              <w:t>4.69</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34,062</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201</w:t>
            </w:r>
          </w:p>
        </w:tc>
        <w:tc>
          <w:tcPr>
            <w:tcW w:w="6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2.39</w:t>
            </w:r>
          </w:p>
        </w:tc>
      </w:tr>
      <w:tr>
        <w:trPr>
          <w:trHeight w:val="123"/>
        </w:trPr>
        <w:tc>
          <w:tcPr>
            <w:tcW w:w="2620" w:type="dxa"/>
            <w:vAlign w:val="bottom"/>
            <w:tcBorders>
              <w:bottom w:val="single" w:sz="8" w:color="CCEEFF"/>
            </w:tcBorders>
          </w:tcPr>
          <w:p>
            <w:pPr>
              <w:ind w:left="240"/>
              <w:spacing w:after="0"/>
              <w:rPr>
                <w:sz w:val="20"/>
                <w:szCs w:val="20"/>
                <w:color w:val="auto"/>
              </w:rPr>
            </w:pPr>
            <w:r>
              <w:rPr>
                <w:rFonts w:ascii="Arial" w:cs="Arial" w:eastAsia="Arial" w:hAnsi="Arial"/>
                <w:sz w:val="10"/>
                <w:szCs w:val="10"/>
                <w:color w:val="auto"/>
              </w:rPr>
              <w:t>Total interest-bearing liabilities</w:t>
            </w: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0"/>
                <w:szCs w:val="10"/>
                <w:b w:val="1"/>
                <w:bCs w:val="1"/>
                <w:color w:val="auto"/>
              </w:rPr>
              <w:t>2,361,187</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18,572</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ind w:left="320"/>
              <w:spacing w:after="0"/>
              <w:rPr>
                <w:sz w:val="20"/>
                <w:szCs w:val="20"/>
                <w:color w:val="auto"/>
              </w:rPr>
            </w:pPr>
            <w:r>
              <w:rPr>
                <w:rFonts w:ascii="Arial" w:cs="Arial" w:eastAsia="Arial" w:hAnsi="Arial"/>
                <w:sz w:val="10"/>
                <w:szCs w:val="10"/>
                <w:b w:val="1"/>
                <w:bCs w:val="1"/>
                <w:color w:val="auto"/>
              </w:rPr>
              <w:t>3.19</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ind w:right="12"/>
              <w:spacing w:after="0"/>
              <w:rPr>
                <w:sz w:val="20"/>
                <w:szCs w:val="20"/>
                <w:color w:val="auto"/>
              </w:rPr>
            </w:pPr>
            <w:r>
              <w:rPr>
                <w:rFonts w:ascii="Arial" w:cs="Arial" w:eastAsia="Arial" w:hAnsi="Arial"/>
                <w:sz w:val="10"/>
                <w:szCs w:val="10"/>
                <w:color w:val="auto"/>
              </w:rPr>
              <w:t>2,201,351</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18,355</w:t>
            </w: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ind w:left="400"/>
              <w:spacing w:after="0"/>
              <w:rPr>
                <w:sz w:val="20"/>
                <w:szCs w:val="20"/>
                <w:color w:val="auto"/>
              </w:rPr>
            </w:pPr>
            <w:r>
              <w:rPr>
                <w:rFonts w:ascii="Arial" w:cs="Arial" w:eastAsia="Arial" w:hAnsi="Arial"/>
                <w:sz w:val="10"/>
                <w:szCs w:val="10"/>
                <w:color w:val="auto"/>
              </w:rPr>
              <w:t>3.31</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2,019,328</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16,713</w:t>
            </w:r>
          </w:p>
        </w:tc>
        <w:tc>
          <w:tcPr>
            <w:tcW w:w="6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color w:val="auto"/>
              </w:rPr>
              <w:t>3.36</w:t>
            </w:r>
          </w:p>
        </w:tc>
      </w:tr>
      <w:tr>
        <w:trPr>
          <w:trHeight w:val="116"/>
        </w:trPr>
        <w:tc>
          <w:tcPr>
            <w:tcW w:w="262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Noninterest-bearing liabilities:</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Noninterest-bearing liabilities</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64,056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67,509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56,503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Noninterest-bearing deposits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821,267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837,930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783,018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4"/>
        </w:trPr>
        <w:tc>
          <w:tcPr>
            <w:tcW w:w="26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Stockholders’ equity</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405,302</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391,750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363,115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r>
      <w:tr>
        <w:trPr>
          <w:trHeight w:val="141"/>
        </w:trPr>
        <w:tc>
          <w:tcPr>
            <w:tcW w:w="26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3,651,812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3,498,540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3,221,964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45"/>
        </w:trPr>
        <w:tc>
          <w:tcPr>
            <w:tcW w:w="2620" w:type="dxa"/>
            <w:vAlign w:val="bottom"/>
            <w:tcBorders>
              <w:top w:val="single" w:sz="8" w:color="CCEEFF"/>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62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r>
      <w:tr>
        <w:trPr>
          <w:trHeight w:val="15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interest spread</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0"/>
                <w:szCs w:val="10"/>
                <w:b w:val="1"/>
                <w:bCs w:val="1"/>
                <w:color w:val="auto"/>
                <w:w w:val="89"/>
              </w:rPr>
              <w:t>4.67 %</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0"/>
                <w:szCs w:val="10"/>
                <w:color w:val="auto"/>
                <w:w w:val="96"/>
              </w:rPr>
              <w:t>4.79 %</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4.88 %</w:t>
            </w:r>
          </w:p>
        </w:tc>
      </w:tr>
      <w:tr>
        <w:trPr>
          <w:trHeight w:val="129"/>
        </w:trPr>
        <w:tc>
          <w:tcPr>
            <w:tcW w:w="2620" w:type="dxa"/>
            <w:vAlign w:val="bottom"/>
          </w:tcPr>
          <w:p>
            <w:pPr>
              <w:ind w:left="20"/>
              <w:spacing w:after="0" w:line="113" w:lineRule="exact"/>
              <w:rPr>
                <w:sz w:val="20"/>
                <w:szCs w:val="20"/>
                <w:color w:val="auto"/>
              </w:rPr>
            </w:pPr>
            <w:r>
              <w:rPr>
                <w:rFonts w:ascii="Arial" w:cs="Arial" w:eastAsia="Arial" w:hAnsi="Arial"/>
                <w:sz w:val="10"/>
                <w:szCs w:val="10"/>
                <w:color w:val="auto"/>
              </w:rPr>
              <w:t>Net interest income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gridSpan w:val="3"/>
          </w:tcPr>
          <w:p>
            <w:pPr>
              <w:jc w:val="right"/>
              <w:ind w:right="40"/>
              <w:spacing w:after="0" w:line="111" w:lineRule="exact"/>
              <w:rPr>
                <w:sz w:val="20"/>
                <w:szCs w:val="20"/>
                <w:color w:val="auto"/>
              </w:rPr>
            </w:pPr>
            <w:r>
              <w:rPr>
                <w:rFonts w:ascii="Arial" w:cs="Arial" w:eastAsia="Arial" w:hAnsi="Arial"/>
                <w:sz w:val="10"/>
                <w:szCs w:val="10"/>
                <w:b w:val="1"/>
                <w:bCs w:val="1"/>
                <w:color w:val="auto"/>
              </w:rPr>
              <w:t>$</w:t>
            </w:r>
          </w:p>
        </w:tc>
        <w:tc>
          <w:tcPr>
            <w:tcW w:w="540" w:type="dxa"/>
            <w:vAlign w:val="bottom"/>
          </w:tcPr>
          <w:p>
            <w:pPr>
              <w:jc w:val="right"/>
              <w:spacing w:after="0" w:line="111" w:lineRule="exact"/>
              <w:rPr>
                <w:sz w:val="20"/>
                <w:szCs w:val="20"/>
                <w:color w:val="auto"/>
              </w:rPr>
            </w:pPr>
            <w:r>
              <w:rPr>
                <w:rFonts w:ascii="Arial" w:cs="Arial" w:eastAsia="Arial" w:hAnsi="Arial"/>
                <w:sz w:val="10"/>
                <w:szCs w:val="10"/>
                <w:b w:val="1"/>
                <w:bCs w:val="1"/>
                <w:color w:val="auto"/>
              </w:rPr>
              <w:t>49,398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gridSpan w:val="2"/>
          </w:tcPr>
          <w:p>
            <w:pPr>
              <w:ind w:left="80"/>
              <w:spacing w:after="0" w:line="107"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7" w:lineRule="exact"/>
              <w:rPr>
                <w:sz w:val="20"/>
                <w:szCs w:val="20"/>
                <w:color w:val="auto"/>
              </w:rPr>
            </w:pPr>
            <w:r>
              <w:rPr>
                <w:rFonts w:ascii="Arial" w:cs="Arial" w:eastAsia="Arial" w:hAnsi="Arial"/>
                <w:sz w:val="10"/>
                <w:szCs w:val="10"/>
                <w:color w:val="auto"/>
              </w:rPr>
              <w:t>50,279</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gridSpan w:val="3"/>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line="107" w:lineRule="exact"/>
              <w:rPr>
                <w:sz w:val="20"/>
                <w:szCs w:val="20"/>
                <w:color w:val="auto"/>
              </w:rPr>
            </w:pPr>
            <w:r>
              <w:rPr>
                <w:rFonts w:ascii="Arial" w:cs="Arial" w:eastAsia="Arial" w:hAnsi="Arial"/>
                <w:sz w:val="10"/>
                <w:szCs w:val="10"/>
                <w:color w:val="auto"/>
              </w:rPr>
              <w:t>46,047</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2620" w:type="dxa"/>
            <w:vAlign w:val="bottom"/>
            <w:tcBorders>
              <w:top w:val="single" w:sz="8" w:color="CCEEFF"/>
              <w:bottom w:val="single" w:sz="8" w:color="CCEEFF"/>
            </w:tcBorders>
            <w:shd w:val="clear" w:color="auto" w:fill="CCEEFF"/>
          </w:tcPr>
          <w:p>
            <w:pPr>
              <w:ind w:left="20"/>
              <w:spacing w:after="0" w:line="117" w:lineRule="exact"/>
              <w:rPr>
                <w:sz w:val="20"/>
                <w:szCs w:val="20"/>
                <w:color w:val="auto"/>
              </w:rPr>
            </w:pPr>
            <w:r>
              <w:rPr>
                <w:rFonts w:ascii="Arial" w:cs="Arial" w:eastAsia="Arial" w:hAnsi="Arial"/>
                <w:sz w:val="10"/>
                <w:szCs w:val="10"/>
                <w:color w:val="auto"/>
              </w:rPr>
              <w:t>Net interest margin</w:t>
            </w:r>
            <w:r>
              <w:rPr>
                <w:rFonts w:ascii="Arial" w:cs="Arial" w:eastAsia="Arial" w:hAnsi="Arial"/>
                <w:sz w:val="12"/>
                <w:szCs w:val="12"/>
                <w:color w:val="auto"/>
                <w:vertAlign w:val="superscript"/>
              </w:rPr>
              <w:t>(4)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20" w:type="dxa"/>
            <w:vAlign w:val="bottom"/>
            <w:tcBorders>
              <w:top w:val="single" w:sz="8" w:color="CCEEFF"/>
              <w:bottom w:val="single" w:sz="8" w:color="auto"/>
            </w:tcBorders>
            <w:shd w:val="clear" w:color="auto" w:fill="CCEEFF"/>
          </w:tcPr>
          <w:p>
            <w:pPr>
              <w:ind w:left="320"/>
              <w:spacing w:after="0"/>
              <w:rPr>
                <w:sz w:val="20"/>
                <w:szCs w:val="20"/>
                <w:color w:val="auto"/>
              </w:rPr>
            </w:pPr>
            <w:r>
              <w:rPr>
                <w:rFonts w:ascii="Arial" w:cs="Arial" w:eastAsia="Arial" w:hAnsi="Arial"/>
                <w:sz w:val="10"/>
                <w:szCs w:val="10"/>
                <w:b w:val="1"/>
                <w:bCs w:val="1"/>
                <w:color w:val="auto"/>
                <w:w w:val="89"/>
              </w:rPr>
              <w:t>5.71 %</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auto"/>
            </w:tcBorders>
            <w:shd w:val="clear" w:color="auto" w:fill="CCEEFF"/>
          </w:tcPr>
          <w:p>
            <w:pPr>
              <w:ind w:left="400"/>
              <w:spacing w:after="0" w:line="111" w:lineRule="exact"/>
              <w:rPr>
                <w:sz w:val="20"/>
                <w:szCs w:val="20"/>
                <w:color w:val="auto"/>
              </w:rPr>
            </w:pPr>
            <w:r>
              <w:rPr>
                <w:rFonts w:ascii="Arial" w:cs="Arial" w:eastAsia="Arial" w:hAnsi="Arial"/>
                <w:sz w:val="10"/>
                <w:szCs w:val="10"/>
                <w:color w:val="auto"/>
                <w:w w:val="96"/>
              </w:rPr>
              <w:t>5.94 %</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6.05 %</w:t>
            </w:r>
          </w:p>
        </w:tc>
      </w:tr>
    </w:tbl>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_______________</w:t>
      </w:r>
    </w:p>
    <w:p>
      <w:pPr>
        <w:spacing w:after="0" w:line="23" w:lineRule="exact"/>
        <w:rPr>
          <w:sz w:val="20"/>
          <w:szCs w:val="20"/>
          <w:color w:val="auto"/>
        </w:rPr>
      </w:pPr>
    </w:p>
    <w:p>
      <w:pPr>
        <w:ind w:left="640" w:hanging="216"/>
        <w:spacing w:after="0"/>
        <w:tabs>
          <w:tab w:leader="none" w:pos="640" w:val="left"/>
        </w:tabs>
        <w:numPr>
          <w:ilvl w:val="0"/>
          <w:numId w:val="20"/>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ind w:left="640" w:hanging="216"/>
        <w:spacing w:after="0" w:line="187" w:lineRule="auto"/>
        <w:tabs>
          <w:tab w:leader="none" w:pos="640" w:val="left"/>
        </w:tabs>
        <w:numPr>
          <w:ilvl w:val="0"/>
          <w:numId w:val="20"/>
        </w:numPr>
        <w:rPr>
          <w:rFonts w:ascii="Arial" w:cs="Arial" w:eastAsia="Arial" w:hAnsi="Arial"/>
          <w:sz w:val="11"/>
          <w:szCs w:val="11"/>
          <w:color w:val="auto"/>
          <w:vertAlign w:val="superscript"/>
        </w:rPr>
      </w:pPr>
      <w:r>
        <w:rPr>
          <w:rFonts w:ascii="Arial" w:cs="Arial" w:eastAsia="Arial" w:hAnsi="Arial"/>
          <w:sz w:val="8"/>
          <w:szCs w:val="8"/>
          <w:color w:val="auto"/>
        </w:rPr>
        <w:t>Includes nonaccrual loans.</w:t>
      </w:r>
    </w:p>
    <w:p>
      <w:pPr>
        <w:ind w:left="640" w:hanging="216"/>
        <w:spacing w:after="0" w:line="193" w:lineRule="auto"/>
        <w:tabs>
          <w:tab w:leader="none" w:pos="640" w:val="left"/>
        </w:tabs>
        <w:numPr>
          <w:ilvl w:val="0"/>
          <w:numId w:val="20"/>
        </w:numPr>
        <w:rPr>
          <w:rFonts w:ascii="Arial" w:cs="Arial" w:eastAsia="Arial" w:hAnsi="Arial"/>
          <w:sz w:val="11"/>
          <w:szCs w:val="11"/>
          <w:color w:val="auto"/>
          <w:vertAlign w:val="superscript"/>
        </w:rPr>
      </w:pPr>
      <w:r>
        <w:rPr>
          <w:rFonts w:ascii="Arial" w:cs="Arial" w:eastAsia="Arial" w:hAnsi="Arial"/>
          <w:sz w:val="8"/>
          <w:szCs w:val="8"/>
          <w:color w:val="auto"/>
        </w:rPr>
        <w:t>For the three months ended March 31, 2026, December 31, 2025, and March 31, 2025, collectively, Core Loan Yield was 6.93%, 6.95% and 7.14%, respectively.</w:t>
      </w:r>
    </w:p>
    <w:p>
      <w:pPr>
        <w:spacing w:after="0" w:line="6" w:lineRule="exact"/>
        <w:rPr>
          <w:rFonts w:ascii="Arial" w:cs="Arial" w:eastAsia="Arial" w:hAnsi="Arial"/>
          <w:sz w:val="11"/>
          <w:szCs w:val="11"/>
          <w:color w:val="auto"/>
          <w:vertAlign w:val="superscript"/>
        </w:rPr>
      </w:pPr>
    </w:p>
    <w:p>
      <w:pPr>
        <w:ind w:left="640" w:hanging="216"/>
        <w:spacing w:after="0" w:line="193" w:lineRule="auto"/>
        <w:tabs>
          <w:tab w:leader="none" w:pos="640" w:val="left"/>
        </w:tabs>
        <w:numPr>
          <w:ilvl w:val="0"/>
          <w:numId w:val="20"/>
        </w:numPr>
        <w:rPr>
          <w:rFonts w:ascii="Arial" w:cs="Arial" w:eastAsia="Arial" w:hAnsi="Arial"/>
          <w:sz w:val="11"/>
          <w:szCs w:val="11"/>
          <w:color w:val="auto"/>
          <w:vertAlign w:val="superscript"/>
        </w:rPr>
      </w:pPr>
      <w:r>
        <w:rPr>
          <w:rFonts w:ascii="Arial" w:cs="Arial" w:eastAsia="Arial" w:hAnsi="Arial"/>
          <w:sz w:val="8"/>
          <w:szCs w:val="8"/>
          <w:color w:val="auto"/>
        </w:rPr>
        <w:t>For the three months ended March 31, 2026, December 31, 2025, and March 31, 2025, collectively, Core Net Interest Margin was 4.15%, 4.19% and 4.36%,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640" w:right="299" w:bottom="1440" w:gutter="0" w:footer="0" w:header="0"/>
        </w:sectPr>
      </w:pPr>
    </w:p>
    <w:bookmarkStart w:id="17" w:name="page18"/>
    <w:bookmarkEnd w:id="17"/>
    <w:p>
      <w:pPr>
        <w:ind w:left="208"/>
        <w:spacing w:after="0" w:line="294" w:lineRule="auto"/>
        <w:rPr>
          <w:sz w:val="20"/>
          <w:szCs w:val="20"/>
          <w:color w:val="auto"/>
        </w:rPr>
      </w:pPr>
      <w:r>
        <w:rPr>
          <w:rFonts w:ascii="Arial" w:cs="Arial" w:eastAsia="Arial" w:hAnsi="Arial"/>
          <w:sz w:val="12"/>
          <w:szCs w:val="12"/>
          <w:color w:val="auto"/>
        </w:rPr>
        <w:t>The Company’s reportable segments represent business units with discrete financial information whose results are regularly reviewed by management. The four segments include Commercial Banking,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(the Company’s credit card division), Windsor Advantage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Capital Bank Home Loans (the Company’s mortgage loan division).</w:t>
      </w:r>
    </w:p>
    <w:p>
      <w:pPr>
        <w:spacing w:after="0" w:line="70" w:lineRule="exact"/>
        <w:rPr>
          <w:sz w:val="20"/>
          <w:szCs w:val="20"/>
          <w:color w:val="auto"/>
        </w:rPr>
      </w:pPr>
    </w:p>
    <w:p>
      <w:pPr>
        <w:ind w:left="208"/>
        <w:spacing w:after="0" w:line="286" w:lineRule="auto"/>
        <w:rPr>
          <w:sz w:val="20"/>
          <w:szCs w:val="20"/>
          <w:color w:val="auto"/>
        </w:rPr>
      </w:pPr>
      <w:r>
        <w:rPr>
          <w:rFonts w:ascii="Arial" w:cs="Arial" w:eastAsia="Arial" w:hAnsi="Arial"/>
          <w:sz w:val="12"/>
          <w:szCs w:val="12"/>
          <w:color w:val="auto"/>
        </w:rPr>
        <w:t>The following schedules reported internally for performance assessment by the chief operating decision maker presents financial information for each reportable segment for the periods indicated. Total assets are presented as of March 31, 2026, December 31, 2025, and March 31, 2025.</w:t>
      </w:r>
    </w:p>
    <w:p>
      <w:pPr>
        <w:spacing w:after="0" w:line="152" w:lineRule="exact"/>
        <w:rPr>
          <w:sz w:val="20"/>
          <w:szCs w:val="20"/>
          <w:color w:val="auto"/>
        </w:rPr>
      </w:pPr>
    </w:p>
    <w:p>
      <w:pPr>
        <w:ind w:left="228"/>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20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For the three months ended March 31, 2026</w:t>
            </w: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7"/>
              </w:rPr>
              <w:t>Commercial Bank</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94"/>
              </w:rPr>
              <w:t>Windsor Advantage</w:t>
            </w:r>
            <w:r>
              <w:rPr>
                <w:rFonts w:ascii="Arial" w:cs="Arial" w:eastAsia="Arial" w:hAnsi="Arial"/>
                <w:sz w:val="12"/>
                <w:szCs w:val="12"/>
                <w:b w:val="1"/>
                <w:bCs w:val="1"/>
                <w:color w:val="auto"/>
                <w:w w:val="94"/>
                <w:vertAlign w:val="superscript"/>
              </w:rPr>
              <w:t>™</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CBHL</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52,732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15,061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177</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67,970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18,472</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100</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18,572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34,260</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15,061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77</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49,398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344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2,670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3,014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Provision for credit losses on unfunded commitments</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205</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33,711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12,391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77</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46,179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403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4,692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4,692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416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1,140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1,556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923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923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(1,262)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5,607</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4,345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Other income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707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238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957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top w:val="single" w:sz="8" w:color="CCEEFF"/>
            </w:tcBorders>
            <w:shd w:val="clear" w:color="auto" w:fill="CCEEFF"/>
          </w:tcPr>
          <w:p>
            <w:pPr>
              <w:spacing w:after="0"/>
              <w:rPr>
                <w:sz w:val="10"/>
                <w:szCs w:val="10"/>
                <w:color w:val="auto"/>
              </w:rPr>
            </w:pPr>
          </w:p>
        </w:tc>
        <w:tc>
          <w:tcPr>
            <w:tcW w:w="42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income</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1,684</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4,704</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5,607</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1,378</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13,373</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Noninterest expenses</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Salaries and employee benefits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12,090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3,887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2,664</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1,676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20,317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Occupancy and equipment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1,870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1,118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392</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182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3,562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2,468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278</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358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4,965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Data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545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7,107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59</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56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7,767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Advertising</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718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60</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96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1,466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Loan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1,076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47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22</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238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1,383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Merger-related expenses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65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625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690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Regulatory assessment expenses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598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66</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operating</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1,140</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715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605</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130</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2,590</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expenses</w:t>
            </w:r>
          </w:p>
        </w:tc>
        <w:tc>
          <w:tcPr>
            <w:tcW w:w="1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20,570</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16,167</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4,146</w:t>
            </w: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2,798</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43,681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14,825</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928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1,461</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(1,343)</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15,871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3,624,207</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135,414</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28,535</w:t>
            </w:r>
          </w:p>
        </w:tc>
        <w:tc>
          <w:tcPr>
            <w:tcW w:w="60" w:type="dxa"/>
            <w:vAlign w:val="bottom"/>
          </w:tcPr>
          <w:p>
            <w:pPr>
              <w:spacing w:after="0"/>
              <w:rPr>
                <w:sz w:val="11"/>
                <w:szCs w:val="11"/>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20,311</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3,808,467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Arial" w:cs="Arial" w:eastAsia="Arial" w:hAnsi="Arial"/>
                <w:sz w:val="10"/>
                <w:szCs w:val="10"/>
                <w:color w:val="auto"/>
              </w:rPr>
              <w:t>________________________</w:t>
            </w: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gridSpan w:val="2"/>
            <w:vMerge w:val="continue"/>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21"/>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$5.6 million, including $1.3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three months ended March 31, 2026.</w:t>
      </w:r>
    </w:p>
    <w:p>
      <w:pPr>
        <w:spacing w:after="0" w:line="3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8"/>
          </w:cols>
          <w:pgMar w:left="292" w:top="640" w:right="299" w:bottom="1440" w:gutter="0" w:footer="0" w:header="0"/>
        </w:sectPr>
      </w:pPr>
    </w:p>
    <w:bookmarkStart w:id="18" w:name="page19"/>
    <w:bookmarkEnd w:id="18"/>
    <w:p>
      <w:pPr>
        <w:ind w:left="228"/>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20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For the three months ended December 31, 2025</w:t>
            </w: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7"/>
              </w:rPr>
              <w:t>Commercial Bank</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94"/>
              </w:rPr>
              <w:t>Windsor Advantage</w:t>
            </w:r>
            <w:r>
              <w:rPr>
                <w:rFonts w:ascii="Arial" w:cs="Arial" w:eastAsia="Arial" w:hAnsi="Arial"/>
                <w:sz w:val="12"/>
                <w:szCs w:val="12"/>
                <w:b w:val="1"/>
                <w:bCs w:val="1"/>
                <w:color w:val="auto"/>
                <w:w w:val="94"/>
                <w:vertAlign w:val="superscript"/>
              </w:rPr>
              <w:t>™</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CBHL</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spacing w:after="0" w:line="124" w:lineRule="exact"/>
              <w:rPr>
                <w:sz w:val="20"/>
                <w:szCs w:val="20"/>
                <w:color w:val="auto"/>
              </w:rPr>
            </w:pPr>
            <w:r>
              <w:rPr>
                <w:rFonts w:ascii="Arial" w:cs="Arial" w:eastAsia="Arial" w:hAnsi="Arial"/>
                <w:sz w:val="10"/>
                <w:szCs w:val="10"/>
                <w:color w:val="auto"/>
              </w:rPr>
              <w:t>Interest income</w:t>
            </w:r>
            <w:r>
              <w:rPr>
                <w:rFonts w:ascii="Arial" w:cs="Arial" w:eastAsia="Arial" w:hAnsi="Arial"/>
                <w:sz w:val="12"/>
                <w:szCs w:val="1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51,994</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16,377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263</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68,634</w:t>
            </w: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0"/>
                <w:szCs w:val="10"/>
                <w:color w:val="auto"/>
              </w:rPr>
              <w:t>Interest expense</w:t>
            </w:r>
            <w:r>
              <w:rPr>
                <w:rFonts w:ascii="Arial" w:cs="Arial" w:eastAsia="Arial" w:hAnsi="Arial"/>
                <w:sz w:val="12"/>
                <w:szCs w:val="12"/>
                <w:color w:val="auto"/>
                <w:vertAlign w:val="superscript"/>
              </w:rPr>
              <w:t>(3)</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18,230</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125</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18,355</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33,764</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16,377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138</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50,279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2,715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1,273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3,988</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Release of credit losses on unfunded commitments</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(29)</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31,078</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15,104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138</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46,320</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371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371</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4,837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433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1,527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1,960</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(952)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4,988</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4,036</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295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Other income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698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257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965</w:t>
            </w:r>
          </w:p>
        </w:tc>
        <w:tc>
          <w:tcPr>
            <w:tcW w:w="0" w:type="dxa"/>
            <w:vAlign w:val="bottom"/>
          </w:tcPr>
          <w:p>
            <w:pPr>
              <w:spacing w:after="0"/>
              <w:rPr>
                <w:sz w:val="1"/>
                <w:szCs w:val="1"/>
                <w:color w:val="auto"/>
              </w:rPr>
            </w:pPr>
          </w:p>
        </w:tc>
      </w:tr>
      <w:tr>
        <w:trPr>
          <w:trHeight w:val="125"/>
        </w:trPr>
        <w:tc>
          <w:tcPr>
            <w:tcW w:w="20" w:type="dxa"/>
            <w:vAlign w:val="bottom"/>
            <w:tcBorders>
              <w:top w:val="single" w:sz="8" w:color="CCEEFF"/>
            </w:tcBorders>
            <w:shd w:val="clear" w:color="auto" w:fill="CCEEFF"/>
          </w:tcPr>
          <w:p>
            <w:pPr>
              <w:spacing w:after="0"/>
              <w:rPr>
                <w:sz w:val="10"/>
                <w:szCs w:val="10"/>
                <w:color w:val="auto"/>
              </w:rPr>
            </w:pPr>
          </w:p>
        </w:tc>
        <w:tc>
          <w:tcPr>
            <w:tcW w:w="42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income</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845</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4,847</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4,988</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1,784</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12,464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Noninterest expenses</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Salaries and employee benefits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11,071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3,038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2,425</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1,380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17,914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Occupancy and equipment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1,773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688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40</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137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2,638</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3,047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53</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247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4,294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Data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1,026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6,687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(165)</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(46)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7,502</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Advertising</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608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634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159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Loan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101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475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163</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413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1,152</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Merger-related expenses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737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750</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Regulatory assessment expenses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388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143</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97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858</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operating</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639</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966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763</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229</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2,597</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expenses</w:t>
            </w:r>
          </w:p>
        </w:tc>
        <w:tc>
          <w:tcPr>
            <w:tcW w:w="1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18,508</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14,560</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3,419</w:t>
            </w: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2,616</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39,103</w:t>
            </w:r>
          </w:p>
        </w:tc>
        <w:tc>
          <w:tcPr>
            <w:tcW w:w="0" w:type="dxa"/>
            <w:vAlign w:val="bottom"/>
          </w:tcPr>
          <w:p>
            <w:pPr>
              <w:spacing w:after="0"/>
              <w:rPr>
                <w:sz w:val="1"/>
                <w:szCs w:val="1"/>
                <w:color w:val="auto"/>
              </w:rPr>
            </w:pPr>
          </w:p>
        </w:tc>
      </w:tr>
      <w:tr>
        <w:trPr>
          <w:trHeight w:val="141"/>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13,415</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5,391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1,569</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(694)</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19,681</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3,407,326</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140,914</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25,993</w:t>
            </w:r>
          </w:p>
        </w:tc>
        <w:tc>
          <w:tcPr>
            <w:tcW w:w="60" w:type="dxa"/>
            <w:vAlign w:val="bottom"/>
          </w:tcPr>
          <w:p>
            <w:pPr>
              <w:spacing w:after="0"/>
              <w:rPr>
                <w:sz w:val="11"/>
                <w:szCs w:val="11"/>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31,974</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3,606,207</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0"/>
                <w:szCs w:val="10"/>
                <w:color w:val="auto"/>
              </w:rPr>
              <w:t>________________________</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8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22"/>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$5.0 million, including $1.0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three months ended December 31, 2025.</w:t>
      </w:r>
    </w:p>
    <w:p>
      <w:pPr>
        <w:spacing w:after="0" w:line="200" w:lineRule="exact"/>
        <w:rPr>
          <w:sz w:val="20"/>
          <w:szCs w:val="20"/>
          <w:color w:val="auto"/>
        </w:rPr>
      </w:pPr>
    </w:p>
    <w:p>
      <w:pPr>
        <w:spacing w:after="0" w:line="304"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408"/>
          </w:cols>
          <w:pgMar w:left="292" w:top="671" w:right="1199" w:bottom="1440" w:gutter="0" w:footer="0" w:header="0"/>
        </w:sectPr>
      </w:pPr>
    </w:p>
    <w:bookmarkStart w:id="19" w:name="page20"/>
    <w:bookmarkEnd w:id="19"/>
    <w:p>
      <w:pPr>
        <w:ind w:left="228"/>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20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For the three months ended March 31, 2025</w:t>
            </w: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99"/>
              </w:rPr>
              <w:t>Commercial Bank</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92"/>
              </w:rPr>
              <w:t>Windsor Advantage</w:t>
            </w:r>
            <w:r>
              <w:rPr>
                <w:rFonts w:ascii="Arial" w:cs="Arial" w:eastAsia="Arial" w:hAnsi="Arial"/>
                <w:sz w:val="12"/>
                <w:szCs w:val="12"/>
                <w:b w:val="1"/>
                <w:bCs w:val="1"/>
                <w:color w:val="auto"/>
                <w:w w:val="92"/>
                <w:vertAlign w:val="superscript"/>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CBHL</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Consolidated</w:t>
            </w:r>
          </w:p>
        </w:tc>
      </w:tr>
      <w:tr>
        <w:trPr>
          <w:trHeight w:val="124"/>
        </w:trPr>
        <w:tc>
          <w:tcPr>
            <w:tcW w:w="20" w:type="dxa"/>
            <w:vAlign w:val="bottom"/>
            <w:shd w:val="clear" w:color="auto" w:fill="CCEEFF"/>
          </w:tcPr>
          <w:p>
            <w:pPr>
              <w:spacing w:after="0"/>
              <w:rPr>
                <w:sz w:val="10"/>
                <w:szCs w:val="10"/>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48,164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14,444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62,760</w:t>
            </w:r>
          </w:p>
        </w:tc>
      </w:tr>
      <w:tr>
        <w:trPr>
          <w:trHeight w:val="134"/>
        </w:trPr>
        <w:tc>
          <w:tcPr>
            <w:tcW w:w="20" w:type="dxa"/>
            <w:vAlign w:val="bottom"/>
            <w:tcBorders>
              <w:bottom w:val="single" w:sz="8" w:color="CCEEFF"/>
            </w:tcBorders>
          </w:tcPr>
          <w:p>
            <w:pPr>
              <w:spacing w:after="0"/>
              <w:rPr>
                <w:sz w:val="11"/>
                <w:szCs w:val="11"/>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16,649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16,713</w:t>
            </w:r>
          </w:p>
        </w:tc>
      </w:tr>
      <w:tr>
        <w:trPr>
          <w:trHeight w:val="125"/>
        </w:trPr>
        <w:tc>
          <w:tcPr>
            <w:tcW w:w="20" w:type="dxa"/>
            <w:vAlign w:val="bottom"/>
            <w:shd w:val="clear" w:color="auto" w:fill="CCEEFF"/>
          </w:tcPr>
          <w:p>
            <w:pPr>
              <w:spacing w:after="0"/>
              <w:rPr>
                <w:sz w:val="10"/>
                <w:szCs w:val="10"/>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31,515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14,444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46,047</w:t>
            </w:r>
          </w:p>
        </w:tc>
      </w:tr>
      <w:tr>
        <w:trPr>
          <w:trHeight w:val="134"/>
        </w:trPr>
        <w:tc>
          <w:tcPr>
            <w:tcW w:w="20" w:type="dxa"/>
            <w:vAlign w:val="bottom"/>
          </w:tcPr>
          <w:p>
            <w:pPr>
              <w:spacing w:after="0"/>
              <w:rPr>
                <w:sz w:val="11"/>
                <w:szCs w:val="11"/>
                <w:color w:val="auto"/>
              </w:rPr>
            </w:pPr>
          </w:p>
        </w:tc>
        <w:tc>
          <w:tcPr>
            <w:tcW w:w="462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446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1,800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2,246</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Provision for credit losses on unfunded commitments</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r>
      <w:tr>
        <w:trPr>
          <w:trHeight w:val="123"/>
        </w:trPr>
        <w:tc>
          <w:tcPr>
            <w:tcW w:w="20" w:type="dxa"/>
            <w:vAlign w:val="bottom"/>
          </w:tcPr>
          <w:p>
            <w:pPr>
              <w:spacing w:after="0"/>
              <w:rPr>
                <w:sz w:val="10"/>
                <w:szCs w:val="10"/>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31,069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12,644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88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43,801</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258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258</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3,722</w:t>
            </w: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263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1,568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1,831</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1,096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1,096</w:t>
            </w:r>
          </w:p>
        </w:tc>
      </w:tr>
      <w:tr>
        <w:trPr>
          <w:trHeight w:val="135"/>
        </w:trPr>
        <w:tc>
          <w:tcPr>
            <w:tcW w:w="20" w:type="dxa"/>
            <w:vAlign w:val="bottom"/>
          </w:tcPr>
          <w:p>
            <w:pPr>
              <w:spacing w:after="0"/>
              <w:rPr>
                <w:sz w:val="11"/>
                <w:szCs w:val="11"/>
                <w:color w:val="auto"/>
              </w:rPr>
            </w:pPr>
          </w:p>
        </w:tc>
        <w:tc>
          <w:tcPr>
            <w:tcW w:w="462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(1,038)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4,606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3,568</w:t>
            </w:r>
          </w:p>
        </w:tc>
      </w:tr>
      <w:tr>
        <w:trPr>
          <w:trHeight w:val="135"/>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472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472</w:t>
            </w: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Non-recurring equity and debt investment write-down</w:t>
            </w:r>
          </w:p>
        </w:tc>
        <w:tc>
          <w:tcPr>
            <w:tcW w:w="10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Other income</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1,423</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30</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1,603</w:t>
            </w:r>
          </w:p>
        </w:tc>
      </w:tr>
      <w:tr>
        <w:trPr>
          <w:trHeight w:val="123"/>
        </w:trPr>
        <w:tc>
          <w:tcPr>
            <w:tcW w:w="20" w:type="dxa"/>
            <w:vAlign w:val="bottom"/>
            <w:tcBorders>
              <w:bottom w:val="single" w:sz="8" w:color="CCEEFF"/>
            </w:tcBorders>
          </w:tcPr>
          <w:p>
            <w:pPr>
              <w:spacing w:after="0"/>
              <w:rPr>
                <w:sz w:val="10"/>
                <w:szCs w:val="10"/>
                <w:color w:val="auto"/>
              </w:rPr>
            </w:pPr>
          </w:p>
        </w:tc>
        <w:tc>
          <w:tcPr>
            <w:tcW w:w="4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0"/>
                <w:szCs w:val="10"/>
                <w:color w:val="auto"/>
              </w:rPr>
              <w:t>Total noninterest income</w:t>
            </w: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2,474</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3,733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4,636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1,707</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12,550</w:t>
            </w:r>
          </w:p>
        </w:tc>
      </w:tr>
      <w:tr>
        <w:trPr>
          <w:trHeight w:val="116"/>
        </w:trPr>
        <w:tc>
          <w:tcPr>
            <w:tcW w:w="20" w:type="dxa"/>
            <w:vAlign w:val="bottom"/>
            <w:shd w:val="clear" w:color="auto" w:fill="CCEEFF"/>
          </w:tcPr>
          <w:p>
            <w:pPr>
              <w:spacing w:after="0"/>
              <w:rPr>
                <w:sz w:val="10"/>
                <w:szCs w:val="10"/>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expenses</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Salaries and employee benefits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10,626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3,345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2,406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1,690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18,067</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Occupancy and equipment</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1,577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711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2,910</w:t>
            </w: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Professional fees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1,151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591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120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250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2,112</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Data processing</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6,582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7,112</w:t>
            </w: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Advertising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718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874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104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83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1,779</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processing</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477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743</w:t>
            </w: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Merger-related expenses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1,266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1,266</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903</w:t>
            </w: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Regulatory assessment expenses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865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889</w:t>
            </w: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Other operating</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1,409</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516</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254</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93</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2,272</w:t>
            </w:r>
          </w:p>
        </w:tc>
      </w:tr>
      <w:tr>
        <w:trPr>
          <w:trHeight w:val="123"/>
        </w:trPr>
        <w:tc>
          <w:tcPr>
            <w:tcW w:w="20" w:type="dxa"/>
            <w:vAlign w:val="bottom"/>
            <w:tcBorders>
              <w:bottom w:val="single" w:sz="8" w:color="CCEEFF"/>
            </w:tcBorders>
          </w:tcPr>
          <w:p>
            <w:pPr>
              <w:spacing w:after="0"/>
              <w:rPr>
                <w:sz w:val="10"/>
                <w:szCs w:val="10"/>
                <w:color w:val="auto"/>
              </w:rPr>
            </w:pPr>
          </w:p>
        </w:tc>
        <w:tc>
          <w:tcPr>
            <w:tcW w:w="4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0"/>
                <w:szCs w:val="10"/>
                <w:color w:val="auto"/>
              </w:rPr>
              <w:t>Total noninterest expenses</w:t>
            </w: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18,560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13,302</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3,660</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2,531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38,053</w:t>
            </w:r>
          </w:p>
        </w:tc>
      </w:tr>
      <w:tr>
        <w:trPr>
          <w:trHeight w:val="141"/>
        </w:trPr>
        <w:tc>
          <w:tcPr>
            <w:tcW w:w="20" w:type="dxa"/>
            <w:vAlign w:val="bottom"/>
            <w:tcBorders>
              <w:bottom w:val="single" w:sz="8" w:color="CCEEFF"/>
            </w:tcBorders>
            <w:shd w:val="clear" w:color="auto" w:fill="CCEEFF"/>
          </w:tcPr>
          <w:p>
            <w:pPr>
              <w:spacing w:after="0"/>
              <w:rPr>
                <w:sz w:val="12"/>
                <w:szCs w:val="12"/>
                <w:color w:val="auto"/>
              </w:rPr>
            </w:pPr>
          </w:p>
        </w:tc>
        <w:tc>
          <w:tcPr>
            <w:tcW w:w="4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14,983</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3,075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976</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(736)</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18,298</w:t>
            </w:r>
          </w:p>
        </w:tc>
      </w:tr>
      <w:tr>
        <w:trPr>
          <w:trHeight w:val="126"/>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3,192,327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119,636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23,750</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14,092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3,349,805</w:t>
            </w:r>
          </w:p>
        </w:tc>
      </w:tr>
      <w:tr>
        <w:trPr>
          <w:trHeight w:val="163"/>
        </w:trPr>
        <w:tc>
          <w:tcPr>
            <w:tcW w:w="2000" w:type="dxa"/>
            <w:vAlign w:val="bottom"/>
            <w:gridSpan w:val="2"/>
          </w:tcPr>
          <w:p>
            <w:pPr>
              <w:spacing w:after="0"/>
              <w:rPr>
                <w:sz w:val="20"/>
                <w:szCs w:val="20"/>
                <w:color w:val="auto"/>
              </w:rPr>
            </w:pPr>
            <w:r>
              <w:rPr>
                <w:rFonts w:ascii="Arial" w:cs="Arial" w:eastAsia="Arial" w:hAnsi="Arial"/>
                <w:sz w:val="10"/>
                <w:szCs w:val="10"/>
                <w:color w:val="auto"/>
              </w:rPr>
              <w:t>________________________</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ind w:left="148" w:hanging="148"/>
        <w:spacing w:after="0"/>
        <w:tabs>
          <w:tab w:leader="none" w:pos="148" w:val="left"/>
        </w:tabs>
        <w:numPr>
          <w:ilvl w:val="0"/>
          <w:numId w:val="23"/>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$4.6 million, including $1.0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67"/>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828"/>
          </w:cols>
          <w:pgMar w:left="292" w:top="671" w:right="779" w:bottom="1440" w:gutter="0" w:footer="0" w:header="0"/>
        </w:sectPr>
      </w:pPr>
    </w:p>
    <w:bookmarkStart w:id="20" w:name="page21"/>
    <w:bookmarkEnd w:id="20"/>
    <w:p>
      <w:pPr>
        <w:ind w:left="28"/>
        <w:spacing w:after="0"/>
        <w:rPr>
          <w:sz w:val="20"/>
          <w:szCs w:val="20"/>
          <w:color w:val="auto"/>
        </w:rPr>
      </w:pPr>
      <w:r>
        <w:rPr>
          <w:rFonts w:ascii="Arial" w:cs="Arial" w:eastAsia="Arial" w:hAnsi="Arial"/>
          <w:sz w:val="14"/>
          <w:szCs w:val="14"/>
          <w:b w:val="1"/>
          <w:bCs w:val="1"/>
          <w:u w:val="single" w:color="auto"/>
          <w:color w:val="auto"/>
        </w:rPr>
        <w:t>HISTORICAL FINANCIAL HIGHLIGHTS - Unaudited</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7"/>
              </w:rPr>
              <w:t>Quarter Ended</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gridSpan w:val="2"/>
          </w:tcPr>
          <w:p>
            <w:pPr>
              <w:ind w:left="220"/>
              <w:spacing w:after="0" w:line="91" w:lineRule="exact"/>
              <w:rPr>
                <w:sz w:val="20"/>
                <w:szCs w:val="20"/>
                <w:color w:val="auto"/>
              </w:rPr>
            </w:pPr>
            <w:r>
              <w:rPr>
                <w:rFonts w:ascii="Arial" w:cs="Arial" w:eastAsia="Arial" w:hAnsi="Arial"/>
                <w:sz w:val="10"/>
                <w:szCs w:val="10"/>
                <w:b w:val="1"/>
                <w:bCs w:val="1"/>
                <w:color w:val="auto"/>
              </w:rPr>
              <w:t>March 31,</w:t>
            </w:r>
          </w:p>
        </w:tc>
        <w:tc>
          <w:tcPr>
            <w:tcW w:w="180" w:type="dxa"/>
            <w:vAlign w:val="bottom"/>
          </w:tcPr>
          <w:p>
            <w:pPr>
              <w:spacing w:after="0"/>
              <w:rPr>
                <w:sz w:val="7"/>
                <w:szCs w:val="7"/>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December 31, 2025</w:t>
            </w:r>
          </w:p>
        </w:tc>
        <w:tc>
          <w:tcPr>
            <w:tcW w:w="240" w:type="dxa"/>
            <w:vAlign w:val="bottom"/>
          </w:tcPr>
          <w:p>
            <w:pPr>
              <w:spacing w:after="0"/>
              <w:rPr>
                <w:sz w:val="7"/>
                <w:szCs w:val="7"/>
                <w:color w:val="auto"/>
              </w:rPr>
            </w:pPr>
          </w:p>
        </w:tc>
        <w:tc>
          <w:tcPr>
            <w:tcW w:w="1340" w:type="dxa"/>
            <w:vAlign w:val="bottom"/>
            <w:gridSpan w:val="2"/>
          </w:tcPr>
          <w:p>
            <w:pPr>
              <w:jc w:val="center"/>
              <w:ind w:right="320"/>
              <w:spacing w:after="0" w:line="91" w:lineRule="exact"/>
              <w:rPr>
                <w:sz w:val="20"/>
                <w:szCs w:val="20"/>
                <w:color w:val="auto"/>
              </w:rPr>
            </w:pPr>
            <w:r>
              <w:rPr>
                <w:rFonts w:ascii="Arial" w:cs="Arial" w:eastAsia="Arial" w:hAnsi="Arial"/>
                <w:sz w:val="10"/>
                <w:szCs w:val="10"/>
                <w:b w:val="1"/>
                <w:bCs w:val="1"/>
                <w:color w:val="auto"/>
                <w:w w:val="96"/>
              </w:rPr>
              <w:t>September 30,</w:t>
            </w:r>
          </w:p>
        </w:tc>
        <w:tc>
          <w:tcPr>
            <w:tcW w:w="300" w:type="dxa"/>
            <w:vAlign w:val="bottom"/>
          </w:tcPr>
          <w:p>
            <w:pPr>
              <w:spacing w:after="0"/>
              <w:rPr>
                <w:sz w:val="7"/>
                <w:szCs w:val="7"/>
                <w:color w:val="auto"/>
              </w:rPr>
            </w:pPr>
          </w:p>
        </w:tc>
        <w:tc>
          <w:tcPr>
            <w:tcW w:w="1260" w:type="dxa"/>
            <w:vAlign w:val="bottom"/>
            <w:gridSpan w:val="2"/>
          </w:tcPr>
          <w:p>
            <w:pPr>
              <w:ind w:left="240"/>
              <w:spacing w:after="0" w:line="91" w:lineRule="exact"/>
              <w:rPr>
                <w:sz w:val="20"/>
                <w:szCs w:val="20"/>
                <w:color w:val="auto"/>
              </w:rPr>
            </w:pPr>
            <w:r>
              <w:rPr>
                <w:rFonts w:ascii="Arial" w:cs="Arial" w:eastAsia="Arial" w:hAnsi="Arial"/>
                <w:sz w:val="10"/>
                <w:szCs w:val="10"/>
                <w:b w:val="1"/>
                <w:bCs w:val="1"/>
                <w:color w:val="auto"/>
              </w:rPr>
              <w:t>June 30,</w:t>
            </w:r>
          </w:p>
        </w:tc>
        <w:tc>
          <w:tcPr>
            <w:tcW w:w="300" w:type="dxa"/>
            <w:vAlign w:val="bottom"/>
          </w:tcPr>
          <w:p>
            <w:pPr>
              <w:spacing w:after="0"/>
              <w:rPr>
                <w:sz w:val="7"/>
                <w:szCs w:val="7"/>
                <w:color w:val="auto"/>
              </w:rPr>
            </w:pPr>
          </w:p>
        </w:tc>
        <w:tc>
          <w:tcPr>
            <w:tcW w:w="1180" w:type="dxa"/>
            <w:vAlign w:val="bottom"/>
          </w:tcPr>
          <w:p>
            <w:pPr>
              <w:jc w:val="right"/>
              <w:ind w:right="472"/>
              <w:spacing w:after="0" w:line="91"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4"/>
        </w:trPr>
        <w:tc>
          <w:tcPr>
            <w:tcW w:w="3560" w:type="dxa"/>
            <w:vAlign w:val="bottom"/>
            <w:gridSpan w:val="6"/>
          </w:tcPr>
          <w:p>
            <w:pPr>
              <w:ind w:left="20"/>
              <w:spacing w:after="0"/>
              <w:rPr>
                <w:sz w:val="20"/>
                <w:szCs w:val="20"/>
                <w:color w:val="auto"/>
              </w:rPr>
            </w:pPr>
            <w:r>
              <w:rPr>
                <w:rFonts w:ascii="Arial" w:cs="Arial" w:eastAsia="Arial" w:hAnsi="Arial"/>
                <w:sz w:val="7"/>
                <w:szCs w:val="7"/>
                <w:color w:val="auto"/>
              </w:rPr>
              <w:t>(in thousands, except per share data)</w:t>
            </w:r>
          </w:p>
        </w:tc>
        <w:tc>
          <w:tcPr>
            <w:tcW w:w="280" w:type="dxa"/>
            <w:vAlign w:val="bottom"/>
          </w:tcPr>
          <w:p>
            <w:pPr>
              <w:spacing w:after="0"/>
              <w:rPr>
                <w:sz w:val="10"/>
                <w:szCs w:val="10"/>
                <w:color w:val="auto"/>
              </w:rPr>
            </w:pPr>
          </w:p>
        </w:tc>
        <w:tc>
          <w:tcPr>
            <w:tcW w:w="1200" w:type="dxa"/>
            <w:vAlign w:val="bottom"/>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ind w:right="19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97"/>
        </w:trPr>
        <w:tc>
          <w:tcPr>
            <w:tcW w:w="3560" w:type="dxa"/>
            <w:vAlign w:val="bottom"/>
            <w:tcBorders>
              <w:top w:val="single" w:sz="8" w:color="CCEEFF"/>
            </w:tcBorders>
            <w:gridSpan w:val="6"/>
            <w:shd w:val="clear" w:color="auto" w:fill="CCEEFF"/>
          </w:tcPr>
          <w:p>
            <w:pPr>
              <w:ind w:left="20"/>
              <w:spacing w:after="0" w:line="97" w:lineRule="exact"/>
              <w:rPr>
                <w:sz w:val="20"/>
                <w:szCs w:val="20"/>
                <w:color w:val="auto"/>
              </w:rPr>
            </w:pPr>
            <w:r>
              <w:rPr>
                <w:rFonts w:ascii="Arial" w:cs="Arial" w:eastAsia="Arial" w:hAnsi="Arial"/>
                <w:sz w:val="11"/>
                <w:szCs w:val="11"/>
                <w:b w:val="1"/>
                <w:bCs w:val="1"/>
                <w:color w:val="auto"/>
              </w:rPr>
              <w:t>Earnings:</w:t>
            </w:r>
          </w:p>
        </w:tc>
        <w:tc>
          <w:tcPr>
            <w:tcW w:w="280" w:type="dxa"/>
            <w:vAlign w:val="bottom"/>
            <w:tcBorders>
              <w:top w:val="single" w:sz="8" w:color="auto"/>
            </w:tcBorders>
            <w:shd w:val="clear" w:color="auto" w:fill="CCEEFF"/>
          </w:tcPr>
          <w:p>
            <w:pPr>
              <w:spacing w:after="0"/>
              <w:rPr>
                <w:sz w:val="8"/>
                <w:szCs w:val="8"/>
                <w:color w:val="auto"/>
              </w:rPr>
            </w:pPr>
          </w:p>
        </w:tc>
        <w:tc>
          <w:tcPr>
            <w:tcW w:w="1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Net income</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12,018</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15,065</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13,136</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13,932</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Earnings per common share, diluted</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0.73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0.89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0.78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0.82</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Net interest margin</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5.71 %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5.94 %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6.36 %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6.04 %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6.05 %</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Core net interest margin</w:t>
            </w:r>
            <w:r>
              <w:rPr>
                <w:rFonts w:ascii="Arial" w:cs="Arial" w:eastAsia="Arial" w:hAnsi="Arial"/>
                <w:sz w:val="12"/>
                <w:szCs w:val="12"/>
                <w:color w:val="auto"/>
                <w:vertAlign w:val="superscript"/>
              </w:rPr>
              <w:t>(2)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4.19 %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4.66 %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4.36 %</w:t>
            </w:r>
          </w:p>
        </w:tc>
        <w:tc>
          <w:tcPr>
            <w:tcW w:w="0" w:type="dxa"/>
            <w:vAlign w:val="bottom"/>
          </w:tcPr>
          <w:p>
            <w:pPr>
              <w:spacing w:after="0"/>
              <w:rPr>
                <w:sz w:val="1"/>
                <w:szCs w:val="1"/>
                <w:color w:val="auto"/>
              </w:rPr>
            </w:pPr>
          </w:p>
        </w:tc>
      </w:tr>
      <w:tr>
        <w:trPr>
          <w:trHeight w:val="135"/>
        </w:trPr>
        <w:tc>
          <w:tcPr>
            <w:tcW w:w="3560" w:type="dxa"/>
            <w:vAlign w:val="bottom"/>
            <w:gridSpan w:val="6"/>
          </w:tcPr>
          <w:p>
            <w:pPr>
              <w:ind w:left="20"/>
              <w:spacing w:after="0" w:line="135" w:lineRule="exact"/>
              <w:rPr>
                <w:sz w:val="20"/>
                <w:szCs w:val="20"/>
                <w:color w:val="auto"/>
              </w:rPr>
            </w:pPr>
            <w:r>
              <w:rPr>
                <w:rFonts w:ascii="Arial" w:cs="Arial" w:eastAsia="Arial" w:hAnsi="Arial"/>
                <w:sz w:val="10"/>
                <w:szCs w:val="10"/>
                <w:color w:val="auto"/>
              </w:rPr>
              <w:t>Return on average assets</w:t>
            </w:r>
            <w:r>
              <w:rPr>
                <w:rFonts w:ascii="Arial" w:cs="Arial" w:eastAsia="Arial" w:hAnsi="Arial"/>
                <w:sz w:val="12"/>
                <w:szCs w:val="12"/>
                <w:color w:val="auto"/>
                <w:vertAlign w:val="superscript"/>
              </w:rPr>
              <w:t>(1)</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1.33 %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1.71 %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1.77 %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1.60 %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1.75 %</w:t>
            </w:r>
          </w:p>
        </w:tc>
        <w:tc>
          <w:tcPr>
            <w:tcW w:w="0" w:type="dxa"/>
            <w:vAlign w:val="bottom"/>
          </w:tcPr>
          <w:p>
            <w:pPr>
              <w:spacing w:after="0"/>
              <w:rPr>
                <w:sz w:val="1"/>
                <w:szCs w:val="1"/>
                <w:color w:val="auto"/>
              </w:rPr>
            </w:pPr>
          </w:p>
        </w:tc>
      </w:tr>
      <w:tr>
        <w:trPr>
          <w:trHeight w:val="135"/>
        </w:trPr>
        <w:tc>
          <w:tcPr>
            <w:tcW w:w="356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0"/>
                <w:szCs w:val="10"/>
                <w:color w:val="auto"/>
              </w:rPr>
              <w:t>Return on average equity</w:t>
            </w:r>
            <w:r>
              <w:rPr>
                <w:rFonts w:ascii="Arial" w:cs="Arial" w:eastAsia="Arial" w:hAnsi="Arial"/>
                <w:sz w:val="12"/>
                <w:szCs w:val="12"/>
                <w:color w:val="auto"/>
                <w:vertAlign w:val="superscript"/>
              </w:rPr>
              <w:t>(1)</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15.57 %</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14.17 %</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15.56 %</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Efficiency ratio</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69.59 %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62.32 %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60.79 %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65.14 %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64.94 %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gridSpan w:val="6"/>
          </w:tcPr>
          <w:p>
            <w:pPr>
              <w:ind w:left="20"/>
              <w:spacing w:after="0" w:line="117" w:lineRule="exact"/>
              <w:rPr>
                <w:sz w:val="20"/>
                <w:szCs w:val="20"/>
                <w:color w:val="auto"/>
              </w:rPr>
            </w:pPr>
            <w:r>
              <w:rPr>
                <w:rFonts w:ascii="Arial" w:cs="Arial" w:eastAsia="Arial" w:hAnsi="Arial"/>
                <w:sz w:val="11"/>
                <w:szCs w:val="11"/>
                <w:b w:val="1"/>
                <w:bCs w:val="1"/>
                <w:color w:val="auto"/>
              </w:rPr>
              <w:t>Balance Sheet:</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Total portfolio loans receivable, net deferred fees</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3,026,431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2,959,457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2,821,983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2,739,808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2,678,406</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Total deposits</w:t>
            </w:r>
          </w:p>
        </w:tc>
        <w:tc>
          <w:tcPr>
            <w:tcW w:w="280" w:type="dxa"/>
            <w:vAlign w:val="bottom"/>
          </w:tcPr>
          <w:p>
            <w:pPr>
              <w:spacing w:after="0"/>
              <w:rPr>
                <w:sz w:val="11"/>
                <w:szCs w:val="11"/>
                <w:color w:val="auto"/>
              </w:rPr>
            </w:pP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3,292,047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3,093,200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2,912,053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2,940,738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2,891,333</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Total assets</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3,808,467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3,606,207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3,389,442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3,388,662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3,349,805</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Total stockholders' equity</w:t>
            </w:r>
          </w:p>
        </w:tc>
        <w:tc>
          <w:tcPr>
            <w:tcW w:w="280" w:type="dxa"/>
            <w:vAlign w:val="bottom"/>
          </w:tcPr>
          <w:p>
            <w:pPr>
              <w:spacing w:after="0"/>
              <w:rPr>
                <w:sz w:val="11"/>
                <w:szCs w:val="11"/>
                <w:color w:val="auto"/>
              </w:rPr>
            </w:pP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408,859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401,757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394,770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380,035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369,577</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Total average portfolio loans receivable, net deferred fees</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3,008,187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2,902,033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2,789,815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2,733,865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2,634,110</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Total average deposits</w:t>
            </w:r>
          </w:p>
        </w:tc>
        <w:tc>
          <w:tcPr>
            <w:tcW w:w="280" w:type="dxa"/>
            <w:vAlign w:val="bottom"/>
          </w:tcPr>
          <w:p>
            <w:pPr>
              <w:spacing w:after="0"/>
              <w:rPr>
                <w:sz w:val="11"/>
                <w:szCs w:val="11"/>
                <w:color w:val="auto"/>
              </w:rPr>
            </w:pP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3,130,392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2,992,784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2,917,067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2,841,153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2,768,284</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Portfolio loans-to-deposit ratio (period-end balances)</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91.93 %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95.68 %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96.91 %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93.17 %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92.64 %</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Portfolio loans-to-deposit ratio (average balances)</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96.10 %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96.97 %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95.64 %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96.22 %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95.15 %</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gridSpan w:val="6"/>
          </w:tcPr>
          <w:p>
            <w:pPr>
              <w:ind w:left="20"/>
              <w:spacing w:after="0" w:line="117" w:lineRule="exact"/>
              <w:rPr>
                <w:sz w:val="20"/>
                <w:szCs w:val="20"/>
                <w:color w:val="auto"/>
              </w:rPr>
            </w:pPr>
            <w:r>
              <w:rPr>
                <w:rFonts w:ascii="Arial" w:cs="Arial" w:eastAsia="Arial" w:hAnsi="Arial"/>
                <w:sz w:val="11"/>
                <w:szCs w:val="11"/>
                <w:b w:val="1"/>
                <w:bCs w:val="1"/>
                <w:color w:val="auto"/>
              </w:rPr>
              <w:t>Asset Quality Ratios:</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Nonperforming assets to total assets</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1.54 %</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1.07 %</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1.28 %</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Nonperforming loans to total loans</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1.83 %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1.84 %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1.85 %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1.32 %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1.60 %</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 xml:space="preserve">Net charge-offs to average portfolio loans </w:t>
            </w:r>
            <w:r>
              <w:rPr>
                <w:rFonts w:ascii="Arial" w:cs="Arial" w:eastAsia="Arial" w:hAnsi="Arial"/>
                <w:sz w:val="12"/>
                <w:szCs w:val="12"/>
                <w:color w:val="auto"/>
                <w:vertAlign w:val="superscript"/>
              </w:rPr>
              <w:t>(1)</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0.40 %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0.32 %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0.35 %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0.75 %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0.38 %</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Allowance for credit losses to total loans</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1.81 %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1.85 %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1.88 %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1.73 %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1.81 %</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Allowance for credit losses to non-performing loans</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98.67 %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100.44 %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101.53 %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131.19 %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112.86 %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560" w:type="dxa"/>
            <w:vAlign w:val="bottom"/>
            <w:gridSpan w:val="6"/>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Bank Capital Ratios:</w:t>
            </w: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000000"/>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Total risk based capital ratio</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12.52 %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12.60 %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12.95 %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13.13 %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12.93 %</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Tier-1 risk based capital ratio</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11.34 %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11.69 %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11.87 %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11.67 %</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Leverage ratio</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9.00 %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9.24 %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9.34 %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9.39 %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9.27 %</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Common Equity Tier-1 capital ratio</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11.34 %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11.69 %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11.87 %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11.67 %</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Tangible common equity</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8.40 %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8.75 %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9.06 %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8.84 %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8.66 %</w:t>
            </w:r>
          </w:p>
        </w:tc>
        <w:tc>
          <w:tcPr>
            <w:tcW w:w="0" w:type="dxa"/>
            <w:vAlign w:val="bottom"/>
          </w:tcPr>
          <w:p>
            <w:pPr>
              <w:spacing w:after="0"/>
              <w:rPr>
                <w:sz w:val="1"/>
                <w:szCs w:val="1"/>
                <w:color w:val="auto"/>
              </w:rPr>
            </w:pPr>
          </w:p>
        </w:tc>
      </w:tr>
      <w:tr>
        <w:trPr>
          <w:trHeight w:val="120"/>
        </w:trPr>
        <w:tc>
          <w:tcPr>
            <w:tcW w:w="3560" w:type="dxa"/>
            <w:vAlign w:val="bottom"/>
            <w:gridSpan w:val="6"/>
            <w:shd w:val="clear" w:color="auto" w:fill="CCEEFF"/>
          </w:tcPr>
          <w:p>
            <w:pPr>
              <w:ind w:left="20"/>
              <w:spacing w:after="0" w:line="120" w:lineRule="exact"/>
              <w:rPr>
                <w:sz w:val="20"/>
                <w:szCs w:val="20"/>
                <w:color w:val="auto"/>
              </w:rPr>
            </w:pPr>
            <w:r>
              <w:rPr>
                <w:rFonts w:ascii="Arial" w:cs="Arial" w:eastAsia="Arial" w:hAnsi="Arial"/>
                <w:sz w:val="11"/>
                <w:szCs w:val="11"/>
                <w:b w:val="1"/>
                <w:bCs w:val="1"/>
                <w:color w:val="auto"/>
              </w:rPr>
              <w:t>Holding Company Capital Ratios:</w:t>
            </w: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Total risk based capital ratio</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14.25 %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14.31 %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15.25 %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15.30 %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14.97 %</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Tier-1 risk based capital ratio</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12.99 %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13.05 %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13.62 %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13.66 %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13.32 %</w:t>
            </w:r>
          </w:p>
        </w:tc>
        <w:tc>
          <w:tcPr>
            <w:tcW w:w="0" w:type="dxa"/>
            <w:vAlign w:val="bottom"/>
          </w:tcPr>
          <w:p>
            <w:pPr>
              <w:spacing w:after="0"/>
              <w:rPr>
                <w:sz w:val="1"/>
                <w:szCs w:val="1"/>
                <w:color w:val="auto"/>
              </w:rPr>
            </w:pPr>
          </w:p>
        </w:tc>
      </w:tr>
      <w:tr>
        <w:trPr>
          <w:trHeight w:val="132"/>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Leverage ratio</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10.48 %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10.71 %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10.98 %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10.90 %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10.68 %</w:t>
            </w:r>
          </w:p>
        </w:tc>
        <w:tc>
          <w:tcPr>
            <w:tcW w:w="0" w:type="dxa"/>
            <w:vAlign w:val="bottom"/>
          </w:tcPr>
          <w:p>
            <w:pPr>
              <w:spacing w:after="0"/>
              <w:rPr>
                <w:sz w:val="1"/>
                <w:szCs w:val="1"/>
                <w:color w:val="auto"/>
              </w:rPr>
            </w:pPr>
          </w:p>
        </w:tc>
      </w:tr>
      <w:tr>
        <w:trPr>
          <w:trHeight w:val="138"/>
        </w:trPr>
        <w:tc>
          <w:tcPr>
            <w:tcW w:w="356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Common Equity Tier-1 capital ratio</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12.92 %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12.98 %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13.54 %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13.58 %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13.24 %</w:t>
            </w:r>
          </w:p>
        </w:tc>
        <w:tc>
          <w:tcPr>
            <w:tcW w:w="0" w:type="dxa"/>
            <w:vAlign w:val="bottom"/>
          </w:tcPr>
          <w:p>
            <w:pPr>
              <w:spacing w:after="0"/>
              <w:rPr>
                <w:sz w:val="1"/>
                <w:szCs w:val="1"/>
                <w:color w:val="auto"/>
              </w:rPr>
            </w:pPr>
          </w:p>
        </w:tc>
      </w:tr>
      <w:tr>
        <w:trPr>
          <w:trHeight w:val="129"/>
        </w:trPr>
        <w:tc>
          <w:tcPr>
            <w:tcW w:w="3560" w:type="dxa"/>
            <w:vAlign w:val="bottom"/>
            <w:gridSpan w:val="6"/>
          </w:tcPr>
          <w:p>
            <w:pPr>
              <w:ind w:left="20"/>
              <w:spacing w:after="0"/>
              <w:rPr>
                <w:sz w:val="20"/>
                <w:szCs w:val="20"/>
                <w:color w:val="auto"/>
              </w:rPr>
            </w:pPr>
            <w:r>
              <w:rPr>
                <w:rFonts w:ascii="Arial" w:cs="Arial" w:eastAsia="Arial" w:hAnsi="Arial"/>
                <w:sz w:val="10"/>
                <w:szCs w:val="10"/>
                <w:color w:val="auto"/>
              </w:rPr>
              <w:t>Tangible common equity</w:t>
            </w: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9.73 %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10.07 %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10.60 %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10.22 %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9.94 %</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w:t>
      </w:r>
    </w:p>
    <w:p>
      <w:pPr>
        <w:ind w:left="208" w:hanging="208"/>
        <w:spacing w:after="0" w:line="205" w:lineRule="auto"/>
        <w:tabs>
          <w:tab w:leader="none" w:pos="208" w:val="left"/>
        </w:tabs>
        <w:numPr>
          <w:ilvl w:val="0"/>
          <w:numId w:val="24"/>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ind w:left="208" w:hanging="208"/>
        <w:spacing w:after="0" w:line="193" w:lineRule="auto"/>
        <w:tabs>
          <w:tab w:leader="none" w:pos="208" w:val="left"/>
        </w:tabs>
        <w:numPr>
          <w:ilvl w:val="0"/>
          <w:numId w:val="24"/>
        </w:numPr>
        <w:rPr>
          <w:rFonts w:ascii="Arial" w:cs="Arial" w:eastAsia="Arial" w:hAnsi="Arial"/>
          <w:sz w:val="11"/>
          <w:szCs w:val="11"/>
          <w:color w:val="auto"/>
          <w:vertAlign w:val="superscript"/>
        </w:rPr>
      </w:pPr>
      <w:r>
        <w:rPr>
          <w:rFonts w:ascii="Arial" w:cs="Arial" w:eastAsia="Arial" w:hAnsi="Arial"/>
          <w:sz w:val="8"/>
          <w:szCs w:val="8"/>
          <w:color w:val="auto"/>
        </w:rPr>
        <w:t>Refer to Appendix for reconciliation of non-GAAP measures.</w:t>
      </w:r>
    </w:p>
    <w:p>
      <w:pPr>
        <w:spacing w:after="0" w:line="3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88"/>
          </w:cols>
          <w:pgMar w:left="292" w:top="526" w:right="319" w:bottom="1440" w:gutter="0" w:footer="0" w:header="0"/>
        </w:sectPr>
      </w:pPr>
    </w:p>
    <w:bookmarkStart w:id="21" w:name="page22"/>
    <w:bookmarkEnd w:id="21"/>
    <w:p>
      <w:pPr>
        <w:ind w:left="28"/>
        <w:spacing w:after="0"/>
        <w:rPr>
          <w:sz w:val="20"/>
          <w:szCs w:val="20"/>
          <w:color w:val="auto"/>
        </w:rPr>
      </w:pPr>
      <w:r>
        <w:rPr>
          <w:rFonts w:ascii="Arial" w:cs="Arial" w:eastAsia="Arial" w:hAnsi="Arial"/>
          <w:sz w:val="14"/>
          <w:szCs w:val="14"/>
          <w:b w:val="1"/>
          <w:bCs w:val="1"/>
          <w:u w:val="single" w:color="auto"/>
          <w:color w:val="auto"/>
        </w:rPr>
        <w:t>HISTORICAL FINANCIAL HIGHLIGHTS - Unaudited (Continued)</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7"/>
              </w:rPr>
              <w:t>Quarter Ended</w:t>
            </w: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gridSpan w:val="2"/>
          </w:tcPr>
          <w:p>
            <w:pPr>
              <w:ind w:left="220"/>
              <w:spacing w:after="0" w:line="91" w:lineRule="exact"/>
              <w:rPr>
                <w:sz w:val="20"/>
                <w:szCs w:val="20"/>
                <w:color w:val="auto"/>
              </w:rPr>
            </w:pPr>
            <w:r>
              <w:rPr>
                <w:rFonts w:ascii="Arial" w:cs="Arial" w:eastAsia="Arial" w:hAnsi="Arial"/>
                <w:sz w:val="10"/>
                <w:szCs w:val="10"/>
                <w:b w:val="1"/>
                <w:bCs w:val="1"/>
                <w:color w:val="auto"/>
              </w:rPr>
              <w:t>March 31,</w:t>
            </w:r>
          </w:p>
        </w:tc>
        <w:tc>
          <w:tcPr>
            <w:tcW w:w="180" w:type="dxa"/>
            <w:vAlign w:val="bottom"/>
          </w:tcPr>
          <w:p>
            <w:pPr>
              <w:spacing w:after="0"/>
              <w:rPr>
                <w:sz w:val="7"/>
                <w:szCs w:val="7"/>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December 31, 2025</w:t>
            </w:r>
          </w:p>
        </w:tc>
        <w:tc>
          <w:tcPr>
            <w:tcW w:w="240" w:type="dxa"/>
            <w:vAlign w:val="bottom"/>
          </w:tcPr>
          <w:p>
            <w:pPr>
              <w:spacing w:after="0"/>
              <w:rPr>
                <w:sz w:val="7"/>
                <w:szCs w:val="7"/>
                <w:color w:val="auto"/>
              </w:rPr>
            </w:pPr>
          </w:p>
        </w:tc>
        <w:tc>
          <w:tcPr>
            <w:tcW w:w="1320" w:type="dxa"/>
            <w:vAlign w:val="bottom"/>
            <w:gridSpan w:val="2"/>
          </w:tcPr>
          <w:p>
            <w:pPr>
              <w:jc w:val="center"/>
              <w:ind w:right="340"/>
              <w:spacing w:after="0" w:line="91" w:lineRule="exact"/>
              <w:rPr>
                <w:sz w:val="20"/>
                <w:szCs w:val="20"/>
                <w:color w:val="auto"/>
              </w:rPr>
            </w:pPr>
            <w:r>
              <w:rPr>
                <w:rFonts w:ascii="Arial" w:cs="Arial" w:eastAsia="Arial" w:hAnsi="Arial"/>
                <w:sz w:val="10"/>
                <w:szCs w:val="10"/>
                <w:b w:val="1"/>
                <w:bCs w:val="1"/>
                <w:color w:val="auto"/>
                <w:w w:val="96"/>
              </w:rPr>
              <w:t>September 30,</w:t>
            </w:r>
          </w:p>
        </w:tc>
        <w:tc>
          <w:tcPr>
            <w:tcW w:w="300" w:type="dxa"/>
            <w:vAlign w:val="bottom"/>
          </w:tcPr>
          <w:p>
            <w:pPr>
              <w:spacing w:after="0"/>
              <w:rPr>
                <w:sz w:val="7"/>
                <w:szCs w:val="7"/>
                <w:color w:val="auto"/>
              </w:rPr>
            </w:pPr>
          </w:p>
        </w:tc>
        <w:tc>
          <w:tcPr>
            <w:tcW w:w="1260" w:type="dxa"/>
            <w:vAlign w:val="bottom"/>
            <w:gridSpan w:val="2"/>
          </w:tcPr>
          <w:p>
            <w:pPr>
              <w:ind w:left="240"/>
              <w:spacing w:after="0" w:line="91" w:lineRule="exact"/>
              <w:rPr>
                <w:sz w:val="20"/>
                <w:szCs w:val="20"/>
                <w:color w:val="auto"/>
              </w:rPr>
            </w:pPr>
            <w:r>
              <w:rPr>
                <w:rFonts w:ascii="Arial" w:cs="Arial" w:eastAsia="Arial" w:hAnsi="Arial"/>
                <w:sz w:val="10"/>
                <w:szCs w:val="10"/>
                <w:b w:val="1"/>
                <w:bCs w:val="1"/>
                <w:color w:val="auto"/>
              </w:rPr>
              <w:t>June 30,</w:t>
            </w:r>
          </w:p>
        </w:tc>
        <w:tc>
          <w:tcPr>
            <w:tcW w:w="300" w:type="dxa"/>
            <w:vAlign w:val="bottom"/>
          </w:tcPr>
          <w:p>
            <w:pPr>
              <w:spacing w:after="0"/>
              <w:rPr>
                <w:sz w:val="7"/>
                <w:szCs w:val="7"/>
                <w:color w:val="auto"/>
              </w:rPr>
            </w:pPr>
          </w:p>
        </w:tc>
        <w:tc>
          <w:tcPr>
            <w:tcW w:w="1180" w:type="dxa"/>
            <w:vAlign w:val="bottom"/>
          </w:tcPr>
          <w:p>
            <w:pPr>
              <w:jc w:val="right"/>
              <w:ind w:right="472"/>
              <w:spacing w:after="0" w:line="91"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4"/>
        </w:trPr>
        <w:tc>
          <w:tcPr>
            <w:tcW w:w="3560" w:type="dxa"/>
            <w:vAlign w:val="bottom"/>
            <w:gridSpan w:val="8"/>
          </w:tcPr>
          <w:p>
            <w:pPr>
              <w:ind w:left="20"/>
              <w:spacing w:after="0"/>
              <w:rPr>
                <w:sz w:val="20"/>
                <w:szCs w:val="20"/>
                <w:color w:val="auto"/>
              </w:rPr>
            </w:pPr>
            <w:r>
              <w:rPr>
                <w:rFonts w:ascii="Arial" w:cs="Arial" w:eastAsia="Arial" w:hAnsi="Arial"/>
                <w:sz w:val="7"/>
                <w:szCs w:val="7"/>
                <w:color w:val="auto"/>
              </w:rPr>
              <w:t>(in thousands, except per share data)</w:t>
            </w:r>
          </w:p>
        </w:tc>
        <w:tc>
          <w:tcPr>
            <w:tcW w:w="300" w:type="dxa"/>
            <w:vAlign w:val="bottom"/>
          </w:tcPr>
          <w:p>
            <w:pPr>
              <w:spacing w:after="0"/>
              <w:rPr>
                <w:sz w:val="10"/>
                <w:szCs w:val="10"/>
                <w:color w:val="auto"/>
              </w:rPr>
            </w:pPr>
          </w:p>
        </w:tc>
        <w:tc>
          <w:tcPr>
            <w:tcW w:w="1180" w:type="dxa"/>
            <w:vAlign w:val="bottom"/>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21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97"/>
        </w:trPr>
        <w:tc>
          <w:tcPr>
            <w:tcW w:w="3560" w:type="dxa"/>
            <w:vAlign w:val="bottom"/>
            <w:tcBorders>
              <w:top w:val="single" w:sz="8" w:color="CCEEFF"/>
            </w:tcBorders>
            <w:gridSpan w:val="8"/>
            <w:shd w:val="clear" w:color="auto" w:fill="CCEEFF"/>
          </w:tcPr>
          <w:p>
            <w:pPr>
              <w:ind w:left="20"/>
              <w:spacing w:after="0" w:line="97" w:lineRule="exact"/>
              <w:rPr>
                <w:sz w:val="20"/>
                <w:szCs w:val="20"/>
                <w:color w:val="auto"/>
              </w:rPr>
            </w:pPr>
            <w:r>
              <w:rPr>
                <w:rFonts w:ascii="Arial" w:cs="Arial" w:eastAsia="Arial" w:hAnsi="Arial"/>
                <w:sz w:val="11"/>
                <w:szCs w:val="11"/>
                <w:b w:val="1"/>
                <w:bCs w:val="1"/>
                <w:color w:val="auto"/>
              </w:rPr>
              <w:t>Composition of Loans:</w:t>
            </w:r>
          </w:p>
        </w:tc>
        <w:tc>
          <w:tcPr>
            <w:tcW w:w="30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Commercial real estate, non owner-occupied</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522,498</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533,141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509,878</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495,341</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484,399</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Commercial real estate, owner-occupied</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428,632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418,701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442,827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436,421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420,643</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Residential real estate</w:t>
            </w: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795,505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765,808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740,060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710,730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693,597</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Construction real estate</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365,706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359,566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344,290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343,189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343,280</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Commercial and industrial</w:t>
            </w: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730,576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698,289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619,148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593,279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594,331</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Lender finance</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43,775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41,421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31,883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32,494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23,165</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Business equity lines of credit</w:t>
            </w: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4,170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3,818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2,931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2,853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3,468</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Credit card, net of reserve</w:t>
            </w:r>
            <w:r>
              <w:rPr>
                <w:rFonts w:ascii="Arial" w:cs="Arial" w:eastAsia="Arial" w:hAnsi="Arial"/>
                <w:sz w:val="12"/>
                <w:szCs w:val="12"/>
                <w:color w:val="auto"/>
                <w:vertAlign w:val="superscript"/>
              </w:rPr>
              <w:t>(3)</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134,789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142,397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136,483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131,029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118,709</w:t>
            </w:r>
          </w:p>
        </w:tc>
        <w:tc>
          <w:tcPr>
            <w:tcW w:w="0" w:type="dxa"/>
            <w:vAlign w:val="bottom"/>
          </w:tcPr>
          <w:p>
            <w:pPr>
              <w:spacing w:after="0"/>
              <w:rPr>
                <w:sz w:val="1"/>
                <w:szCs w:val="1"/>
                <w:color w:val="auto"/>
              </w:rPr>
            </w:pPr>
          </w:p>
        </w:tc>
      </w:tr>
      <w:tr>
        <w:trPr>
          <w:trHeight w:val="132"/>
        </w:trPr>
        <w:tc>
          <w:tcPr>
            <w:tcW w:w="3560" w:type="dxa"/>
            <w:vAlign w:val="bottom"/>
            <w:tcBorders>
              <w:bottom w:val="single" w:sz="8" w:color="CCEEFF"/>
            </w:tcBorders>
            <w:gridSpan w:val="8"/>
          </w:tcPr>
          <w:p>
            <w:pPr>
              <w:ind w:left="20"/>
              <w:spacing w:after="0"/>
              <w:rPr>
                <w:sz w:val="20"/>
                <w:szCs w:val="20"/>
                <w:color w:val="auto"/>
              </w:rPr>
            </w:pPr>
            <w:r>
              <w:rPr>
                <w:rFonts w:ascii="Arial" w:cs="Arial" w:eastAsia="Arial" w:hAnsi="Arial"/>
                <w:sz w:val="10"/>
                <w:szCs w:val="10"/>
                <w:color w:val="auto"/>
              </w:rPr>
              <w:t>Other consumer loans</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4,779</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1,930</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2,010</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2,727</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2,200</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354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Portfolio loans receivable</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3,030,430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2,965,071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2,829,510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2,748,063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2,683,792</w:t>
            </w:r>
          </w:p>
        </w:tc>
        <w:tc>
          <w:tcPr>
            <w:tcW w:w="0" w:type="dxa"/>
            <w:vAlign w:val="bottom"/>
          </w:tcPr>
          <w:p>
            <w:pPr>
              <w:spacing w:after="0"/>
              <w:rPr>
                <w:sz w:val="1"/>
                <w:szCs w:val="1"/>
                <w:color w:val="auto"/>
              </w:rPr>
            </w:pPr>
          </w:p>
        </w:tc>
      </w:tr>
      <w:tr>
        <w:trPr>
          <w:trHeight w:val="132"/>
        </w:trPr>
        <w:tc>
          <w:tcPr>
            <w:tcW w:w="3560" w:type="dxa"/>
            <w:vAlign w:val="bottom"/>
            <w:tcBorders>
              <w:bottom w:val="single" w:sz="8" w:color="CCEEFF"/>
            </w:tcBorders>
            <w:gridSpan w:val="8"/>
          </w:tcPr>
          <w:p>
            <w:pPr>
              <w:ind w:left="20"/>
              <w:spacing w:after="0"/>
              <w:rPr>
                <w:sz w:val="20"/>
                <w:szCs w:val="20"/>
                <w:color w:val="auto"/>
              </w:rPr>
            </w:pPr>
            <w:r>
              <w:rPr>
                <w:rFonts w:ascii="Arial" w:cs="Arial" w:eastAsia="Arial" w:hAnsi="Arial"/>
                <w:sz w:val="10"/>
                <w:szCs w:val="10"/>
                <w:color w:val="auto"/>
              </w:rPr>
              <w:t>Deferred origination fees, net</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(3,999)</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(5,614)</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(7,527)</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(8,255)</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(5,386)</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354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Portfolio loans receivable, net</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3,026,431</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2,959,457</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2,821,983</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2,739,808</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2,678,406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560" w:type="dxa"/>
            <w:vAlign w:val="bottom"/>
            <w:gridSpan w:val="8"/>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Composition of Deposits:</w:t>
            </w: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Noninterest-bearing</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871,677</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852,741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857,543</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836,979</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812,224</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Interest-bearing demand</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341,723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257,233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275,767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319,431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296,455</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Savings</w:t>
            </w: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21,471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11,679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12,835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12,879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12,819</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Money markets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1,276,034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1,105,183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989,159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960,237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912,418</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Customer time deposits</w:t>
            </w: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478,085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489,687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539,207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541,079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549,630</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Brokered time deposits</w:t>
            </w: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303,057</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376,677</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237,542</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270,133</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307,787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40" w:type="dxa"/>
            <w:vAlign w:val="bottom"/>
            <w:gridSpan w:val="7"/>
          </w:tcPr>
          <w:p>
            <w:pPr>
              <w:ind w:left="140"/>
              <w:spacing w:after="0"/>
              <w:rPr>
                <w:sz w:val="20"/>
                <w:szCs w:val="20"/>
                <w:color w:val="auto"/>
              </w:rPr>
            </w:pPr>
            <w:r>
              <w:rPr>
                <w:rFonts w:ascii="Arial" w:cs="Arial" w:eastAsia="Arial" w:hAnsi="Arial"/>
                <w:sz w:val="10"/>
                <w:szCs w:val="10"/>
                <w:color w:val="auto"/>
              </w:rPr>
              <w:t>Total deposits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3,292,047</w:t>
            </w: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3,093,200</w:t>
            </w:r>
          </w:p>
        </w:tc>
        <w:tc>
          <w:tcPr>
            <w:tcW w:w="8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2,912,053</w:t>
            </w:r>
          </w:p>
        </w:tc>
        <w:tc>
          <w:tcPr>
            <w:tcW w:w="80" w:type="dxa"/>
            <w:vAlign w:val="bottom"/>
          </w:tcPr>
          <w:p>
            <w:pPr>
              <w:spacing w:after="0"/>
              <w:rPr>
                <w:sz w:val="10"/>
                <w:szCs w:val="10"/>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2,940,738</w:t>
            </w:r>
          </w:p>
        </w:tc>
        <w:tc>
          <w:tcPr>
            <w:tcW w:w="80" w:type="dxa"/>
            <w:vAlign w:val="bottom"/>
          </w:tcPr>
          <w:p>
            <w:pPr>
              <w:spacing w:after="0"/>
              <w:rPr>
                <w:sz w:val="10"/>
                <w:szCs w:val="10"/>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2,891,333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gridSpan w:val="8"/>
          </w:tcPr>
          <w:p>
            <w:pPr>
              <w:ind w:left="20"/>
              <w:spacing w:after="0" w:line="117" w:lineRule="exact"/>
              <w:rPr>
                <w:sz w:val="20"/>
                <w:szCs w:val="20"/>
                <w:color w:val="auto"/>
              </w:rPr>
            </w:pPr>
            <w:r>
              <w:rPr>
                <w:rFonts w:ascii="Arial" w:cs="Arial" w:eastAsia="Arial" w:hAnsi="Arial"/>
                <w:sz w:val="11"/>
                <w:szCs w:val="11"/>
                <w:b w:val="1"/>
                <w:bCs w:val="1"/>
                <w:color w:val="auto"/>
              </w:rPr>
              <w:t>Capital Bank Home Loan Metrics:</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Origination of loans held for sale</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72,933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107,283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80,651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80,334</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65,815</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Mortgage loans sold</w:t>
            </w: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52,423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82,998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66,409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59,663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54,144</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Gain on sale of loans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2,145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1,698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1,597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1,664</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Purchase volume as a % of originations</w:t>
            </w: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73.15 %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72.77 %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92.32 %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91.61 %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90.73 %</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Gain on sale as a % of loans sold</w:t>
            </w:r>
            <w:r>
              <w:rPr>
                <w:rFonts w:ascii="Arial" w:cs="Arial" w:eastAsia="Arial" w:hAnsi="Arial"/>
                <w:sz w:val="12"/>
                <w:szCs w:val="12"/>
                <w:color w:val="auto"/>
                <w:vertAlign w:val="superscript"/>
              </w:rPr>
              <w:t>(4)</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2.56 %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2.68 %</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3.07 %</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Mortgage commissions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594</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899</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656</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501</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545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gridSpan w:val="8"/>
          </w:tcPr>
          <w:p>
            <w:pPr>
              <w:ind w:left="20"/>
              <w:spacing w:after="0" w:line="117" w:lineRule="exact"/>
              <w:rPr>
                <w:sz w:val="20"/>
                <w:szCs w:val="20"/>
                <w:color w:val="auto"/>
              </w:rPr>
            </w:pPr>
            <w:r>
              <w:rPr>
                <w:rFonts w:ascii="Arial" w:cs="Arial" w:eastAsia="Arial" w:hAnsi="Arial"/>
                <w:sz w:val="10"/>
                <w:szCs w:val="10"/>
                <w:b w:val="1"/>
                <w:bCs w:val="1"/>
                <w:color w:val="auto"/>
              </w:rPr>
              <w:t>OpenSky</w:t>
            </w:r>
            <w:r>
              <w:rPr>
                <w:rFonts w:ascii="Arial" w:cs="Arial" w:eastAsia="Arial" w:hAnsi="Arial"/>
                <w:sz w:val="13"/>
                <w:szCs w:val="13"/>
                <w:b w:val="1"/>
                <w:bCs w:val="1"/>
                <w:color w:val="auto"/>
                <w:vertAlign w:val="superscript"/>
              </w:rPr>
              <w:t>™</w:t>
            </w:r>
            <w:r>
              <w:rPr>
                <w:rFonts w:ascii="Arial" w:cs="Arial" w:eastAsia="Arial" w:hAnsi="Arial"/>
                <w:sz w:val="10"/>
                <w:szCs w:val="10"/>
                <w:b w:val="1"/>
                <w:bCs w:val="1"/>
                <w:color w:val="auto"/>
              </w:rPr>
              <w:t xml:space="preserve"> Portfolio Metrics:</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Open customer accounts</w:t>
            </w: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588,190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585,492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587,641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585,372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563,718</w:t>
            </w:r>
          </w:p>
        </w:tc>
        <w:tc>
          <w:tcPr>
            <w:tcW w:w="0" w:type="dxa"/>
            <w:vAlign w:val="bottom"/>
          </w:tcPr>
          <w:p>
            <w:pPr>
              <w:spacing w:after="0"/>
              <w:rPr>
                <w:sz w:val="1"/>
                <w:szCs w:val="1"/>
                <w:color w:val="auto"/>
              </w:rPr>
            </w:pPr>
          </w:p>
        </w:tc>
      </w:tr>
      <w:tr>
        <w:trPr>
          <w:trHeight w:val="132"/>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Secured credit card loans, gross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90,021</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97,313</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98,793</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100,037</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93,570</w:t>
            </w:r>
          </w:p>
        </w:tc>
        <w:tc>
          <w:tcPr>
            <w:tcW w:w="0" w:type="dxa"/>
            <w:vAlign w:val="bottom"/>
          </w:tcPr>
          <w:p>
            <w:pPr>
              <w:spacing w:after="0"/>
              <w:rPr>
                <w:sz w:val="1"/>
                <w:szCs w:val="1"/>
                <w:color w:val="auto"/>
              </w:rPr>
            </w:pPr>
          </w:p>
        </w:tc>
      </w:tr>
      <w:tr>
        <w:trPr>
          <w:trHeight w:val="138"/>
        </w:trPr>
        <w:tc>
          <w:tcPr>
            <w:tcW w:w="356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Unsecured credit card loans, gross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46,574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47,131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39,576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32,715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26,670</w:t>
            </w:r>
          </w:p>
        </w:tc>
        <w:tc>
          <w:tcPr>
            <w:tcW w:w="0" w:type="dxa"/>
            <w:vAlign w:val="bottom"/>
          </w:tcPr>
          <w:p>
            <w:pPr>
              <w:spacing w:after="0"/>
              <w:rPr>
                <w:sz w:val="1"/>
                <w:szCs w:val="1"/>
                <w:color w:val="auto"/>
              </w:rPr>
            </w:pPr>
          </w:p>
        </w:tc>
      </w:tr>
      <w:tr>
        <w:trPr>
          <w:trHeight w:val="129"/>
        </w:trPr>
        <w:tc>
          <w:tcPr>
            <w:tcW w:w="3560" w:type="dxa"/>
            <w:vAlign w:val="bottom"/>
            <w:gridSpan w:val="8"/>
          </w:tcPr>
          <w:p>
            <w:pPr>
              <w:ind w:left="20"/>
              <w:spacing w:after="0"/>
              <w:rPr>
                <w:sz w:val="20"/>
                <w:szCs w:val="20"/>
                <w:color w:val="auto"/>
              </w:rPr>
            </w:pPr>
            <w:r>
              <w:rPr>
                <w:rFonts w:ascii="Arial" w:cs="Arial" w:eastAsia="Arial" w:hAnsi="Arial"/>
                <w:sz w:val="10"/>
                <w:szCs w:val="10"/>
                <w:color w:val="auto"/>
              </w:rPr>
              <w:t>Noninterest secured credit card deposits</w:t>
            </w: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165,506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163,184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166,874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168,936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168,796</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w:t>
      </w:r>
    </w:p>
    <w:p>
      <w:pPr>
        <w:spacing w:after="0" w:line="13" w:lineRule="exact"/>
        <w:rPr>
          <w:sz w:val="20"/>
          <w:szCs w:val="20"/>
          <w:color w:val="auto"/>
        </w:rPr>
      </w:pPr>
    </w:p>
    <w:p>
      <w:pPr>
        <w:ind w:left="208" w:hanging="208"/>
        <w:spacing w:after="0"/>
        <w:tabs>
          <w:tab w:leader="none" w:pos="208" w:val="left"/>
        </w:tabs>
        <w:numPr>
          <w:ilvl w:val="0"/>
          <w:numId w:val="25"/>
        </w:numPr>
        <w:rPr>
          <w:rFonts w:ascii="Arial" w:cs="Arial" w:eastAsia="Arial" w:hAnsi="Arial"/>
          <w:sz w:val="11"/>
          <w:szCs w:val="11"/>
          <w:color w:val="auto"/>
          <w:vertAlign w:val="superscript"/>
        </w:rPr>
      </w:pPr>
      <w:r>
        <w:rPr>
          <w:rFonts w:ascii="Arial" w:cs="Arial" w:eastAsia="Arial" w:hAnsi="Arial"/>
          <w:sz w:val="8"/>
          <w:szCs w:val="8"/>
          <w:color w:val="auto"/>
        </w:rPr>
        <w:t>Credit card loans are presented net of reserve for interest and fees.</w:t>
      </w:r>
    </w:p>
    <w:p>
      <w:pPr>
        <w:ind w:left="208" w:hanging="208"/>
        <w:spacing w:after="0" w:line="193" w:lineRule="auto"/>
        <w:tabs>
          <w:tab w:leader="none" w:pos="208" w:val="left"/>
        </w:tabs>
        <w:numPr>
          <w:ilvl w:val="0"/>
          <w:numId w:val="25"/>
        </w:numPr>
        <w:rPr>
          <w:rFonts w:ascii="Arial" w:cs="Arial" w:eastAsia="Arial" w:hAnsi="Arial"/>
          <w:sz w:val="11"/>
          <w:szCs w:val="11"/>
          <w:color w:val="auto"/>
          <w:vertAlign w:val="superscript"/>
        </w:rPr>
      </w:pPr>
      <w:r>
        <w:rPr>
          <w:rFonts w:ascii="Arial" w:cs="Arial" w:eastAsia="Arial" w:hAnsi="Arial"/>
          <w:sz w:val="8"/>
          <w:szCs w:val="8"/>
          <w:color w:val="auto"/>
        </w:rPr>
        <w:t>Gain on sale percentage is calculated as gain on sale of loans divided by mortgage loans sold.</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288"/>
          </w:cols>
          <w:pgMar w:left="292" w:top="526"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Company has presented the following non-GAAP (U.S. Generally Accepted Accounting Principles) financial measures because it believes that these measures provide useful and comparative information to assess trends in the Company’s results of operations and financial condition. Presentation of these non-GAAP financial measures is consistent with how the Company evaluates its performance internally and these non-GAAP financial measures are frequently used by securities analysts, investors and other interested parties in the evaluation of companies in the Company’s industry. Investors should recognize that the Company’s presentation of these non-GAAP financial measures might not be comparable to similarly-titled measures of other companies. These non-GAAP financial measures should not be considered a substitute for GAAP basis measures and the Company strongly encourages a review of its condensed consolidated financial statements in their entirety.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289" w:right="299" w:bottom="1440" w:gutter="0" w:footer="0" w:header="0"/>
        </w:sectPr>
      </w:pPr>
    </w:p>
    <w:bookmarkStart w:id="23" w:name="page24"/>
    <w:bookmarkEnd w:id="23"/>
    <w:p>
      <w:pPr>
        <w:jc w:val="center"/>
        <w:ind w:right="-47"/>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47"/>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260" w:type="dxa"/>
            <w:vAlign w:val="bottom"/>
          </w:tcPr>
          <w:p>
            <w:pPr>
              <w:spacing w:after="0"/>
              <w:rPr>
                <w:sz w:val="20"/>
                <w:szCs w:val="20"/>
                <w:color w:val="auto"/>
              </w:rPr>
            </w:pPr>
            <w:r>
              <w:rPr>
                <w:rFonts w:ascii="Arial" w:cs="Arial" w:eastAsia="Arial" w:hAnsi="Arial"/>
                <w:sz w:val="11"/>
                <w:szCs w:val="11"/>
                <w:b w:val="1"/>
                <w:bCs w:val="1"/>
                <w:color w:val="auto"/>
              </w:rPr>
              <w:t>Core Earnings Metrics</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23"/>
        </w:trPr>
        <w:tc>
          <w:tcPr>
            <w:tcW w:w="4260" w:type="dxa"/>
            <w:vAlign w:val="bottom"/>
          </w:tcPr>
          <w:p>
            <w:pPr>
              <w:spacing w:after="0"/>
              <w:rPr>
                <w:sz w:val="20"/>
                <w:szCs w:val="20"/>
                <w:color w:val="auto"/>
              </w:rPr>
            </w:pPr>
            <w:r>
              <w:rPr>
                <w:rFonts w:ascii="Arial" w:cs="Arial" w:eastAsia="Arial" w:hAnsi="Arial"/>
                <w:sz w:val="7"/>
                <w:szCs w:val="7"/>
                <w:color w:val="auto"/>
              </w:rPr>
              <w:t>(in thousands, except per share data)</w:t>
            </w:r>
          </w:p>
        </w:tc>
        <w:tc>
          <w:tcPr>
            <w:tcW w:w="200" w:type="dxa"/>
            <w:vAlign w:val="bottom"/>
          </w:tcPr>
          <w:p>
            <w:pPr>
              <w:spacing w:after="0"/>
              <w:rPr>
                <w:sz w:val="10"/>
                <w:szCs w:val="10"/>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0"/>
                <w:szCs w:val="10"/>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0"/>
                <w:szCs w:val="10"/>
                <w:color w:val="auto"/>
              </w:rPr>
            </w:pPr>
          </w:p>
        </w:tc>
        <w:tc>
          <w:tcPr>
            <w:tcW w:w="118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0"/>
                <w:szCs w:val="10"/>
                <w:color w:val="auto"/>
              </w:rPr>
            </w:pPr>
          </w:p>
        </w:tc>
        <w:tc>
          <w:tcPr>
            <w:tcW w:w="1140" w:type="dxa"/>
            <w:vAlign w:val="bottom"/>
          </w:tcPr>
          <w:p>
            <w:pPr>
              <w:jc w:val="right"/>
              <w:ind w:right="292"/>
              <w:spacing w:after="0"/>
              <w:rPr>
                <w:sz w:val="20"/>
                <w:szCs w:val="20"/>
                <w:color w:val="auto"/>
              </w:rPr>
            </w:pPr>
            <w:r>
              <w:rPr>
                <w:rFonts w:ascii="Arial" w:cs="Arial" w:eastAsia="Arial" w:hAnsi="Arial"/>
                <w:sz w:val="10"/>
                <w:szCs w:val="10"/>
                <w:b w:val="1"/>
                <w:bCs w:val="1"/>
                <w:color w:val="auto"/>
              </w:rPr>
              <w:t>March 31, 2025</w:t>
            </w:r>
          </w:p>
        </w:tc>
      </w:tr>
      <w:tr>
        <w:trPr>
          <w:trHeight w:val="44"/>
        </w:trPr>
        <w:tc>
          <w:tcPr>
            <w:tcW w:w="42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r>
      <w:tr>
        <w:trPr>
          <w:trHeight w:val="135"/>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12,018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15,065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13,136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13,932</w:t>
            </w:r>
          </w:p>
        </w:tc>
      </w:tr>
      <w:tr>
        <w:trPr>
          <w:trHeight w:val="132"/>
        </w:trPr>
        <w:tc>
          <w:tcPr>
            <w:tcW w:w="4260" w:type="dxa"/>
            <w:vAlign w:val="bottom"/>
          </w:tcPr>
          <w:p>
            <w:pPr>
              <w:spacing w:after="0"/>
              <w:rPr>
                <w:sz w:val="20"/>
                <w:szCs w:val="20"/>
                <w:color w:val="auto"/>
              </w:rPr>
            </w:pPr>
            <w:r>
              <w:rPr>
                <w:rFonts w:ascii="Arial" w:cs="Arial" w:eastAsia="Arial" w:hAnsi="Arial"/>
                <w:sz w:val="10"/>
                <w:szCs w:val="10"/>
                <w:color w:val="auto"/>
              </w:rPr>
              <w:t>Deduct: Income from the Call of Brokered Time Deposits, Net of Tax</w:t>
            </w:r>
          </w:p>
        </w:tc>
        <w:tc>
          <w:tcPr>
            <w:tcW w:w="200" w:type="dxa"/>
            <w:vAlign w:val="bottom"/>
          </w:tcPr>
          <w:p>
            <w:pPr>
              <w:spacing w:after="0"/>
              <w:rPr>
                <w:sz w:val="11"/>
                <w:szCs w:val="1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Arial" w:cs="Arial" w:eastAsia="Arial" w:hAnsi="Arial"/>
                <w:sz w:val="10"/>
                <w:szCs w:val="10"/>
                <w:color w:val="auto"/>
              </w:rPr>
              <w:t>(3,489)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35"/>
        </w:trPr>
        <w:tc>
          <w:tcPr>
            <w:tcW w:w="4260" w:type="dxa"/>
            <w:vAlign w:val="bottom"/>
            <w:shd w:val="clear" w:color="auto" w:fill="CCEEFF"/>
          </w:tcPr>
          <w:p>
            <w:pPr>
              <w:spacing w:after="0"/>
              <w:rPr>
                <w:sz w:val="20"/>
                <w:szCs w:val="20"/>
                <w:color w:val="auto"/>
              </w:rPr>
            </w:pPr>
            <w:r>
              <w:rPr>
                <w:rFonts w:ascii="Arial" w:cs="Arial" w:eastAsia="Arial" w:hAnsi="Arial"/>
                <w:sz w:val="10"/>
                <w:szCs w:val="10"/>
                <w:color w:val="auto"/>
              </w:rPr>
              <w:t>Add: Merger-Related Expenses, Net of Tax</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575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1,070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964</w:t>
            </w:r>
          </w:p>
        </w:tc>
      </w:tr>
      <w:tr>
        <w:trPr>
          <w:trHeight w:val="143"/>
        </w:trPr>
        <w:tc>
          <w:tcPr>
            <w:tcW w:w="42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Core Net Income</w:t>
            </w: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12,018</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12,151</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14,206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14,896</w:t>
            </w:r>
          </w:p>
        </w:tc>
      </w:tr>
      <w:tr>
        <w:trPr>
          <w:trHeight w:val="126"/>
        </w:trPr>
        <w:tc>
          <w:tcPr>
            <w:tcW w:w="4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Weighted Average Common Shares - Diluted</w:t>
            </w:r>
          </w:p>
        </w:tc>
        <w:tc>
          <w:tcPr>
            <w:tcW w:w="2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16,441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16,493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16,844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16,802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16,925</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Earnings per Share - Diluted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0.73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0.89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0.78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0.82</w:t>
            </w: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Core Earnings per Share - Diluted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0.73</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0.72</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0.85</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0.88</w:t>
            </w:r>
          </w:p>
        </w:tc>
      </w:tr>
      <w:tr>
        <w:trPr>
          <w:trHeight w:val="145"/>
        </w:trPr>
        <w:tc>
          <w:tcPr>
            <w:tcW w:w="4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Average Assets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3,651,812</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3,498,540</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3,378,296</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3,292,533</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3,221,964</w:t>
            </w:r>
          </w:p>
        </w:tc>
      </w:tr>
      <w:tr>
        <w:trPr>
          <w:trHeight w:val="136"/>
        </w:trPr>
        <w:tc>
          <w:tcPr>
            <w:tcW w:w="4260" w:type="dxa"/>
            <w:vAlign w:val="bottom"/>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Return on Average Assets</w:t>
            </w:r>
            <w:r>
              <w:rPr>
                <w:rFonts w:ascii="Arial" w:cs="Arial" w:eastAsia="Arial" w:hAnsi="Arial"/>
                <w:sz w:val="12"/>
                <w:szCs w:val="12"/>
                <w:b w:val="1"/>
                <w:bCs w:val="1"/>
                <w:color w:val="auto"/>
                <w:vertAlign w:val="superscript"/>
              </w:rPr>
              <w:t>(1)</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1.75 %</w:t>
            </w:r>
          </w:p>
        </w:tc>
      </w:tr>
      <w:tr>
        <w:trPr>
          <w:trHeight w:val="135"/>
        </w:trPr>
        <w:tc>
          <w:tcPr>
            <w:tcW w:w="4260" w:type="dxa"/>
            <w:vAlign w:val="bottom"/>
          </w:tcPr>
          <w:p>
            <w:pPr>
              <w:spacing w:after="0" w:line="135" w:lineRule="exact"/>
              <w:rPr>
                <w:sz w:val="20"/>
                <w:szCs w:val="20"/>
                <w:color w:val="auto"/>
              </w:rPr>
            </w:pPr>
            <w:r>
              <w:rPr>
                <w:rFonts w:ascii="Arial" w:cs="Arial" w:eastAsia="Arial" w:hAnsi="Arial"/>
                <w:sz w:val="10"/>
                <w:szCs w:val="10"/>
                <w:b w:val="1"/>
                <w:bCs w:val="1"/>
                <w:color w:val="auto"/>
              </w:rPr>
              <w:t>Core Return on Average Assets</w:t>
            </w:r>
            <w:r>
              <w:rPr>
                <w:rFonts w:ascii="Arial" w:cs="Arial" w:eastAsia="Arial" w:hAnsi="Arial"/>
                <w:sz w:val="12"/>
                <w:szCs w:val="12"/>
                <w:b w:val="1"/>
                <w:bCs w:val="1"/>
                <w:color w:val="auto"/>
                <w:vertAlign w:val="superscript"/>
              </w:rPr>
              <w:t>(1)</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1.33 %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1.71 %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1.43 %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1.73 %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1.87 %</w:t>
            </w:r>
          </w:p>
        </w:tc>
      </w:tr>
      <w:tr>
        <w:trPr>
          <w:trHeight w:val="144"/>
        </w:trPr>
        <w:tc>
          <w:tcPr>
            <w:tcW w:w="4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Average Equity</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405,302</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391,750</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383,922</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371,795</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363,115</w:t>
            </w:r>
          </w:p>
        </w:tc>
      </w:tr>
      <w:tr>
        <w:trPr>
          <w:trHeight w:val="136"/>
        </w:trPr>
        <w:tc>
          <w:tcPr>
            <w:tcW w:w="4260" w:type="dxa"/>
            <w:vAlign w:val="bottom"/>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Return on Average Equity</w:t>
            </w:r>
            <w:r>
              <w:rPr>
                <w:rFonts w:ascii="Arial" w:cs="Arial" w:eastAsia="Arial" w:hAnsi="Arial"/>
                <w:sz w:val="12"/>
                <w:szCs w:val="12"/>
                <w:b w:val="1"/>
                <w:bCs w:val="1"/>
                <w:color w:val="auto"/>
                <w:vertAlign w:val="superscript"/>
              </w:rPr>
              <w:t>(1)</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14.17 %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15.56 %</w:t>
            </w:r>
          </w:p>
        </w:tc>
      </w:tr>
      <w:tr>
        <w:trPr>
          <w:trHeight w:val="135"/>
        </w:trPr>
        <w:tc>
          <w:tcPr>
            <w:tcW w:w="4260" w:type="dxa"/>
            <w:vAlign w:val="bottom"/>
          </w:tcPr>
          <w:p>
            <w:pPr>
              <w:spacing w:after="0" w:line="135" w:lineRule="exact"/>
              <w:rPr>
                <w:sz w:val="20"/>
                <w:szCs w:val="20"/>
                <w:color w:val="auto"/>
              </w:rPr>
            </w:pPr>
            <w:r>
              <w:rPr>
                <w:rFonts w:ascii="Arial" w:cs="Arial" w:eastAsia="Arial" w:hAnsi="Arial"/>
                <w:sz w:val="10"/>
                <w:szCs w:val="10"/>
                <w:b w:val="1"/>
                <w:bCs w:val="1"/>
                <w:color w:val="auto"/>
              </w:rPr>
              <w:t>Core Return on Average Equity</w:t>
            </w:r>
            <w:r>
              <w:rPr>
                <w:rFonts w:ascii="Arial" w:cs="Arial" w:eastAsia="Arial" w:hAnsi="Arial"/>
                <w:sz w:val="12"/>
                <w:szCs w:val="12"/>
                <w:b w:val="1"/>
                <w:bCs w:val="1"/>
                <w:color w:val="auto"/>
                <w:vertAlign w:val="superscript"/>
              </w:rPr>
              <w:t>(1)</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12.03 %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15.23 %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12.56 %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15.33 %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16.64 %</w:t>
            </w:r>
          </w:p>
        </w:tc>
      </w:tr>
      <w:tr>
        <w:trPr>
          <w:trHeight w:val="144"/>
        </w:trPr>
        <w:tc>
          <w:tcPr>
            <w:tcW w:w="4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Net Interest Income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49,398</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50,279</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52,020</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47,646</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46,047</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2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13,373</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12,464</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11,068</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13,106</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12,549</w:t>
            </w:r>
          </w:p>
        </w:tc>
      </w:tr>
      <w:tr>
        <w:trPr>
          <w:trHeight w:val="123"/>
        </w:trPr>
        <w:tc>
          <w:tcPr>
            <w:tcW w:w="4260" w:type="dxa"/>
            <w:vAlign w:val="bottom"/>
          </w:tcPr>
          <w:p>
            <w:pPr>
              <w:spacing w:after="0"/>
              <w:rPr>
                <w:sz w:val="20"/>
                <w:szCs w:val="20"/>
                <w:color w:val="auto"/>
              </w:rPr>
            </w:pPr>
            <w:r>
              <w:rPr>
                <w:rFonts w:ascii="Arial" w:cs="Arial" w:eastAsia="Arial" w:hAnsi="Arial"/>
                <w:sz w:val="10"/>
                <w:szCs w:val="10"/>
                <w:b w:val="1"/>
                <w:bCs w:val="1"/>
                <w:color w:val="auto"/>
              </w:rPr>
              <w:t>Total Revenue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62,771</w:t>
            </w:r>
          </w:p>
        </w:tc>
        <w:tc>
          <w:tcPr>
            <w:tcW w:w="8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62,743</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63,088</w:t>
            </w:r>
          </w:p>
        </w:tc>
        <w:tc>
          <w:tcPr>
            <w:tcW w:w="6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60,752</w:t>
            </w: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58,596</w:t>
            </w:r>
          </w:p>
        </w:tc>
      </w:tr>
      <w:tr>
        <w:trPr>
          <w:trHeight w:val="135"/>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Expense</w:t>
            </w:r>
          </w:p>
        </w:tc>
        <w:tc>
          <w:tcPr>
            <w:tcW w:w="2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43,681</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39,103</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38,354</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39,572</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38,053</w:t>
            </w:r>
          </w:p>
        </w:tc>
      </w:tr>
      <w:tr>
        <w:trPr>
          <w:trHeight w:val="141"/>
        </w:trPr>
        <w:tc>
          <w:tcPr>
            <w:tcW w:w="4260" w:type="dxa"/>
            <w:vAlign w:val="bottom"/>
            <w:tcBorders>
              <w:bottom w:val="single" w:sz="8" w:color="CCEEFF"/>
            </w:tcBorders>
          </w:tcPr>
          <w:p>
            <w:pPr>
              <w:spacing w:after="0" w:line="125" w:lineRule="exact"/>
              <w:rPr>
                <w:sz w:val="20"/>
                <w:szCs w:val="20"/>
                <w:color w:val="auto"/>
              </w:rPr>
            </w:pPr>
            <w:r>
              <w:rPr>
                <w:rFonts w:ascii="Arial" w:cs="Arial" w:eastAsia="Arial" w:hAnsi="Arial"/>
                <w:sz w:val="10"/>
                <w:szCs w:val="10"/>
                <w:b w:val="1"/>
                <w:bCs w:val="1"/>
                <w:color w:val="auto"/>
              </w:rPr>
              <w:t>Efficiency Ratio</w:t>
            </w:r>
            <w:r>
              <w:rPr>
                <w:rFonts w:ascii="Arial" w:cs="Arial" w:eastAsia="Arial" w:hAnsi="Arial"/>
                <w:sz w:val="12"/>
                <w:szCs w:val="12"/>
                <w:b w:val="1"/>
                <w:bCs w:val="1"/>
                <w:color w:val="auto"/>
                <w:vertAlign w:val="superscript"/>
              </w:rPr>
              <w:t>(2)</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69.6 %</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62.3 %</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60.8 %</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65.1 %</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64.9 %</w:t>
            </w:r>
          </w:p>
        </w:tc>
      </w:tr>
      <w:tr>
        <w:trPr>
          <w:trHeight w:val="126"/>
        </w:trPr>
        <w:tc>
          <w:tcPr>
            <w:tcW w:w="4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Net Interest Income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49,398</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50,279</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52,020</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47,646</w:t>
            </w:r>
          </w:p>
        </w:tc>
        <w:tc>
          <w:tcPr>
            <w:tcW w:w="8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46,047</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color w:val="auto"/>
              </w:rPr>
              <w:t>Deduct: Income from the Call of Brokered Time Deposits</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4,618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23"/>
        </w:trPr>
        <w:tc>
          <w:tcPr>
            <w:tcW w:w="4260" w:type="dxa"/>
            <w:vAlign w:val="bottom"/>
          </w:tcPr>
          <w:p>
            <w:pPr>
              <w:spacing w:after="0"/>
              <w:rPr>
                <w:sz w:val="20"/>
                <w:szCs w:val="20"/>
                <w:color w:val="auto"/>
              </w:rPr>
            </w:pPr>
            <w:r>
              <w:rPr>
                <w:rFonts w:ascii="Arial" w:cs="Arial" w:eastAsia="Arial" w:hAnsi="Arial"/>
                <w:sz w:val="10"/>
                <w:szCs w:val="10"/>
                <w:b w:val="1"/>
                <w:bCs w:val="1"/>
                <w:color w:val="auto"/>
              </w:rPr>
              <w:t>Core Net Interest Income (a)</w:t>
            </w: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49,398</w:t>
            </w:r>
          </w:p>
        </w:tc>
        <w:tc>
          <w:tcPr>
            <w:tcW w:w="80" w:type="dxa"/>
            <w:vAlign w:val="bottom"/>
          </w:tcPr>
          <w:p>
            <w:pPr>
              <w:spacing w:after="0"/>
              <w:rPr>
                <w:sz w:val="10"/>
                <w:szCs w:val="10"/>
                <w:color w:val="auto"/>
              </w:rPr>
            </w:pPr>
          </w:p>
        </w:tc>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50,279</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rPr>
              <w:t>47,402</w:t>
            </w:r>
          </w:p>
        </w:tc>
        <w:tc>
          <w:tcPr>
            <w:tcW w:w="6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47,646</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46,047</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2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13,373</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12,464</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11,068</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13,106</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12,549</w:t>
            </w:r>
          </w:p>
        </w:tc>
      </w:tr>
      <w:tr>
        <w:trPr>
          <w:trHeight w:val="123"/>
        </w:trPr>
        <w:tc>
          <w:tcPr>
            <w:tcW w:w="42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Core Fee Revenue (b)</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13,373</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12,464</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11,068</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13,106</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12,549</w:t>
            </w:r>
          </w:p>
        </w:tc>
      </w:tr>
      <w:tr>
        <w:trPr>
          <w:trHeight w:val="125"/>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Revenue (a) + (b)</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62,771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62,743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58,470</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60,752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58,596</w:t>
            </w:r>
          </w:p>
        </w:tc>
      </w:tr>
      <w:tr>
        <w:trPr>
          <w:trHeight w:val="144"/>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Expense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43,681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39,103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38,354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39,572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38,053</w:t>
            </w:r>
          </w:p>
        </w:tc>
      </w:tr>
      <w:tr>
        <w:trPr>
          <w:trHeight w:val="132"/>
        </w:trPr>
        <w:tc>
          <w:tcPr>
            <w:tcW w:w="4260" w:type="dxa"/>
            <w:vAlign w:val="bottom"/>
          </w:tcPr>
          <w:p>
            <w:pPr>
              <w:spacing w:after="0"/>
              <w:rPr>
                <w:sz w:val="20"/>
                <w:szCs w:val="20"/>
                <w:color w:val="auto"/>
              </w:rPr>
            </w:pPr>
            <w:r>
              <w:rPr>
                <w:rFonts w:ascii="Arial" w:cs="Arial" w:eastAsia="Arial" w:hAnsi="Arial"/>
                <w:sz w:val="10"/>
                <w:szCs w:val="10"/>
                <w:color w:val="auto"/>
              </w:rPr>
              <w:t>Less: Merger-Related Expenses</w:t>
            </w:r>
          </w:p>
        </w:tc>
        <w:tc>
          <w:tcPr>
            <w:tcW w:w="200" w:type="dxa"/>
            <w:vAlign w:val="bottom"/>
          </w:tcPr>
          <w:p>
            <w:pPr>
              <w:spacing w:after="0"/>
              <w:rPr>
                <w:sz w:val="11"/>
                <w:szCs w:val="1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697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1,398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1,266</w:t>
            </w:r>
          </w:p>
        </w:tc>
      </w:tr>
      <w:tr>
        <w:trPr>
          <w:trHeight w:val="126"/>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Core Noninterest Expense</w:t>
            </w: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43,681</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39,103</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37,657</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38,174</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36,787</w:t>
            </w:r>
          </w:p>
        </w:tc>
      </w:tr>
      <w:tr>
        <w:trPr>
          <w:trHeight w:val="125"/>
        </w:trPr>
        <w:tc>
          <w:tcPr>
            <w:tcW w:w="4260" w:type="dxa"/>
            <w:vAlign w:val="bottom"/>
          </w:tcPr>
          <w:p>
            <w:pPr>
              <w:spacing w:after="0" w:line="125" w:lineRule="exact"/>
              <w:rPr>
                <w:sz w:val="20"/>
                <w:szCs w:val="20"/>
                <w:color w:val="auto"/>
              </w:rPr>
            </w:pPr>
            <w:r>
              <w:rPr>
                <w:rFonts w:ascii="Arial" w:cs="Arial" w:eastAsia="Arial" w:hAnsi="Arial"/>
                <w:sz w:val="10"/>
                <w:szCs w:val="10"/>
                <w:b w:val="1"/>
                <w:bCs w:val="1"/>
                <w:color w:val="auto"/>
              </w:rPr>
              <w:t>Core Efficiency Ratio</w:t>
            </w:r>
            <w:r>
              <w:rPr>
                <w:rFonts w:ascii="Arial" w:cs="Arial" w:eastAsia="Arial" w:hAnsi="Arial"/>
                <w:sz w:val="12"/>
                <w:szCs w:val="12"/>
                <w:b w:val="1"/>
                <w:bCs w:val="1"/>
                <w:color w:val="auto"/>
                <w:vertAlign w:val="superscript"/>
              </w:rPr>
              <w:t>(2)</w:t>
            </w: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69.6 %</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62.3 %</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64.4 %</w:t>
            </w:r>
          </w:p>
        </w:tc>
        <w:tc>
          <w:tcPr>
            <w:tcW w:w="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62.8 %</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62.8 %</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w:t>
      </w:r>
    </w:p>
    <w:p>
      <w:pPr>
        <w:spacing w:after="0" w:line="13" w:lineRule="exact"/>
        <w:rPr>
          <w:sz w:val="20"/>
          <w:szCs w:val="20"/>
          <w:color w:val="auto"/>
        </w:rPr>
      </w:pPr>
    </w:p>
    <w:p>
      <w:pPr>
        <w:ind w:left="208" w:hanging="208"/>
        <w:spacing w:after="0"/>
        <w:tabs>
          <w:tab w:leader="none" w:pos="208" w:val="left"/>
        </w:tabs>
        <w:numPr>
          <w:ilvl w:val="0"/>
          <w:numId w:val="26"/>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ind w:left="208" w:hanging="208"/>
        <w:spacing w:after="0" w:line="193" w:lineRule="auto"/>
        <w:tabs>
          <w:tab w:leader="none" w:pos="208" w:val="left"/>
        </w:tabs>
        <w:numPr>
          <w:ilvl w:val="0"/>
          <w:numId w:val="26"/>
        </w:numPr>
        <w:rPr>
          <w:rFonts w:ascii="Arial" w:cs="Arial" w:eastAsia="Arial" w:hAnsi="Arial"/>
          <w:sz w:val="11"/>
          <w:szCs w:val="11"/>
          <w:color w:val="auto"/>
          <w:vertAlign w:val="superscript"/>
        </w:rPr>
      </w:pPr>
      <w:r>
        <w:rPr>
          <w:rFonts w:ascii="Arial" w:cs="Arial" w:eastAsia="Arial" w:hAnsi="Arial"/>
          <w:sz w:val="8"/>
          <w:szCs w:val="8"/>
          <w:color w:val="auto"/>
        </w:rPr>
        <w:t>The efficiency ratio is calculated by dividing noninterest expense by total revenue (net interest income plus noninterest income).</w:t>
      </w:r>
    </w:p>
    <w:p>
      <w:pPr>
        <w:spacing w:after="0" w:line="200" w:lineRule="exact"/>
        <w:rPr>
          <w:sz w:val="20"/>
          <w:szCs w:val="20"/>
          <w:color w:val="auto"/>
        </w:rPr>
      </w:pPr>
    </w:p>
    <w:p>
      <w:pPr>
        <w:spacing w:after="0" w:line="320"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48"/>
          </w:cols>
          <w:pgMar w:left="292" w:top="289"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20" w:type="dxa"/>
            <w:vAlign w:val="bottom"/>
          </w:tcPr>
          <w:p>
            <w:pPr>
              <w:spacing w:after="0"/>
              <w:rPr>
                <w:sz w:val="20"/>
                <w:szCs w:val="20"/>
                <w:color w:val="auto"/>
              </w:rPr>
            </w:pPr>
            <w:r>
              <w:rPr>
                <w:rFonts w:ascii="Arial" w:cs="Arial" w:eastAsia="Arial" w:hAnsi="Arial"/>
                <w:sz w:val="11"/>
                <w:szCs w:val="11"/>
                <w:b w:val="1"/>
                <w:bCs w:val="1"/>
                <w:color w:val="auto"/>
              </w:rPr>
              <w:t>Core Net Interest Margin</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Quarter Ended</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32"/>
        </w:trPr>
        <w:tc>
          <w:tcPr>
            <w:tcW w:w="4420" w:type="dxa"/>
            <w:vAlign w:val="bottom"/>
          </w:tcPr>
          <w:p>
            <w:pPr>
              <w:spacing w:after="0"/>
              <w:rPr>
                <w:sz w:val="20"/>
                <w:szCs w:val="20"/>
                <w:color w:val="auto"/>
              </w:rPr>
            </w:pPr>
            <w:r>
              <w:rPr>
                <w:rFonts w:ascii="Arial" w:cs="Arial" w:eastAsia="Arial" w:hAnsi="Arial"/>
                <w:sz w:val="7"/>
                <w:szCs w:val="7"/>
                <w:color w:val="auto"/>
              </w:rPr>
              <w:t>(in thousands)</w:t>
            </w:r>
          </w:p>
        </w:tc>
        <w:tc>
          <w:tcPr>
            <w:tcW w:w="200" w:type="dxa"/>
            <w:vAlign w:val="bottom"/>
          </w:tcPr>
          <w:p>
            <w:pPr>
              <w:spacing w:after="0"/>
              <w:rPr>
                <w:sz w:val="11"/>
                <w:szCs w:val="11"/>
                <w:color w:val="auto"/>
              </w:rPr>
            </w:pPr>
          </w:p>
        </w:tc>
        <w:tc>
          <w:tcPr>
            <w:tcW w:w="120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2025</w:t>
            </w:r>
          </w:p>
        </w:tc>
        <w:tc>
          <w:tcPr>
            <w:tcW w:w="180" w:type="dxa"/>
            <w:vAlign w:val="bottom"/>
          </w:tcPr>
          <w:p>
            <w:pPr>
              <w:spacing w:after="0"/>
              <w:rPr>
                <w:sz w:val="11"/>
                <w:szCs w:val="11"/>
                <w:color w:val="auto"/>
              </w:rPr>
            </w:pPr>
          </w:p>
        </w:tc>
        <w:tc>
          <w:tcPr>
            <w:tcW w:w="114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1"/>
                <w:szCs w:val="11"/>
                <w:color w:val="auto"/>
              </w:rPr>
            </w:pPr>
          </w:p>
        </w:tc>
        <w:tc>
          <w:tcPr>
            <w:tcW w:w="110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143"/>
        </w:trPr>
        <w:tc>
          <w:tcPr>
            <w:tcW w:w="44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Interest Income</w:t>
            </w: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49,398</w:t>
            </w: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50,279</w:t>
            </w: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52,020</w:t>
            </w: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47,646</w:t>
            </w:r>
          </w:p>
        </w:tc>
        <w:tc>
          <w:tcPr>
            <w:tcW w:w="1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46,047</w:t>
            </w:r>
          </w:p>
        </w:tc>
      </w:tr>
      <w:tr>
        <w:trPr>
          <w:trHeight w:val="132"/>
        </w:trPr>
        <w:tc>
          <w:tcPr>
            <w:tcW w:w="44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Loan Income</w:t>
            </w: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14,882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16,196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15,386</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14,116</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14,147</w:t>
            </w:r>
          </w:p>
        </w:tc>
      </w:tr>
      <w:tr>
        <w:trPr>
          <w:trHeight w:val="127"/>
        </w:trPr>
        <w:tc>
          <w:tcPr>
            <w:tcW w:w="44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Interest Income</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34,516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34,083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36,634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33,530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31,900</w:t>
            </w:r>
          </w:p>
        </w:tc>
      </w:tr>
      <w:tr>
        <w:trPr>
          <w:trHeight w:val="132"/>
        </w:trPr>
        <w:tc>
          <w:tcPr>
            <w:tcW w:w="4420" w:type="dxa"/>
            <w:vAlign w:val="bottom"/>
          </w:tcPr>
          <w:p>
            <w:pPr>
              <w:spacing w:after="0"/>
              <w:rPr>
                <w:sz w:val="20"/>
                <w:szCs w:val="20"/>
                <w:color w:val="auto"/>
              </w:rPr>
            </w:pPr>
            <w:r>
              <w:rPr>
                <w:rFonts w:ascii="Arial" w:cs="Arial" w:eastAsia="Arial" w:hAnsi="Arial"/>
                <w:sz w:val="10"/>
                <w:szCs w:val="10"/>
                <w:color w:val="auto"/>
              </w:rPr>
              <w:t>Average Interest Earning Assets</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3,509,115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3,360,576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3,246,653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3,163,421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3,087,943</w:t>
            </w:r>
          </w:p>
        </w:tc>
      </w:tr>
      <w:tr>
        <w:trPr>
          <w:trHeight w:val="138"/>
        </w:trPr>
        <w:tc>
          <w:tcPr>
            <w:tcW w:w="44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Credit Card Loans</w:t>
            </w: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133,712</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133,858</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129,100</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121,414</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118,723</w:t>
            </w:r>
          </w:p>
        </w:tc>
      </w:tr>
      <w:tr>
        <w:trPr>
          <w:trHeight w:val="123"/>
        </w:trPr>
        <w:tc>
          <w:tcPr>
            <w:tcW w:w="4420" w:type="dxa"/>
            <w:vAlign w:val="bottom"/>
          </w:tcPr>
          <w:p>
            <w:pPr>
              <w:spacing w:after="0"/>
              <w:rPr>
                <w:sz w:val="20"/>
                <w:szCs w:val="20"/>
                <w:color w:val="auto"/>
              </w:rPr>
            </w:pPr>
            <w:r>
              <w:rPr>
                <w:rFonts w:ascii="Arial" w:cs="Arial" w:eastAsia="Arial" w:hAnsi="Arial"/>
                <w:sz w:val="10"/>
                <w:szCs w:val="10"/>
                <w:b w:val="1"/>
                <w:bCs w:val="1"/>
                <w:color w:val="auto"/>
              </w:rPr>
              <w:t>Average Core Interest Earning Assets</w:t>
            </w: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3,375,403</w:t>
            </w:r>
          </w:p>
        </w:tc>
        <w:tc>
          <w:tcPr>
            <w:tcW w:w="10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3,226,718</w:t>
            </w:r>
          </w:p>
        </w:tc>
        <w:tc>
          <w:tcPr>
            <w:tcW w:w="10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3,117,553</w:t>
            </w:r>
          </w:p>
        </w:tc>
        <w:tc>
          <w:tcPr>
            <w:tcW w:w="10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3,042,007</w:t>
            </w:r>
          </w:p>
        </w:tc>
        <w:tc>
          <w:tcPr>
            <w:tcW w:w="10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2,969,220</w:t>
            </w:r>
          </w:p>
        </w:tc>
      </w:tr>
      <w:tr>
        <w:trPr>
          <w:trHeight w:val="136"/>
        </w:trPr>
        <w:tc>
          <w:tcPr>
            <w:tcW w:w="44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Interest Margin</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4.19%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4.66%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4.42%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4.36%</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Core Loan Yield</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2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1"/>
                <w:szCs w:val="11"/>
                <w:color w:val="auto"/>
              </w:rPr>
            </w:pPr>
          </w:p>
        </w:tc>
        <w:tc>
          <w:tcPr>
            <w:tcW w:w="110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143"/>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Portfolio Loans Receivable Interest Income</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64,009</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64,670</w:t>
            </w: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60,610</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60,647</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58,453</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Loan Income</w:t>
            </w: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14,882</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16,197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15,387</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14,116</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14,148</w:t>
            </w:r>
          </w:p>
        </w:tc>
      </w:tr>
      <w:tr>
        <w:trPr>
          <w:trHeight w:val="127"/>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Core Portfolio Loans Receivable Interest Income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49,127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48,473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45,223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46,531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44,305</w:t>
            </w:r>
          </w:p>
        </w:tc>
      </w:tr>
      <w:tr>
        <w:trPr>
          <w:trHeight w:val="132"/>
        </w:trPr>
        <w:tc>
          <w:tcPr>
            <w:tcW w:w="4500" w:type="dxa"/>
            <w:vAlign w:val="bottom"/>
          </w:tcPr>
          <w:p>
            <w:pPr>
              <w:ind w:left="20"/>
              <w:spacing w:after="0"/>
              <w:rPr>
                <w:sz w:val="20"/>
                <w:szCs w:val="20"/>
                <w:color w:val="auto"/>
              </w:rPr>
            </w:pPr>
            <w:r>
              <w:rPr>
                <w:rFonts w:ascii="Arial" w:cs="Arial" w:eastAsia="Arial" w:hAnsi="Arial"/>
                <w:sz w:val="10"/>
                <w:szCs w:val="10"/>
                <w:color w:val="auto"/>
              </w:rPr>
              <w:t>Average Portfolio Loans Receivable</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3,008,187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2,902,033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2,789,815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2,733,865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2,634,110</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Credit Card Loans</w:t>
            </w:r>
          </w:p>
        </w:tc>
        <w:tc>
          <w:tcPr>
            <w:tcW w:w="1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133,712</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133,858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129,100</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121,414</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118,723</w:t>
            </w:r>
          </w:p>
        </w:tc>
      </w:tr>
      <w:tr>
        <w:trPr>
          <w:trHeight w:val="123"/>
        </w:trPr>
        <w:tc>
          <w:tcPr>
            <w:tcW w:w="4500" w:type="dxa"/>
            <w:vAlign w:val="bottom"/>
          </w:tcPr>
          <w:p>
            <w:pPr>
              <w:ind w:left="20"/>
              <w:spacing w:after="0"/>
              <w:rPr>
                <w:sz w:val="20"/>
                <w:szCs w:val="20"/>
                <w:color w:val="auto"/>
              </w:rPr>
            </w:pPr>
            <w:r>
              <w:rPr>
                <w:rFonts w:ascii="Arial" w:cs="Arial" w:eastAsia="Arial" w:hAnsi="Arial"/>
                <w:sz w:val="10"/>
                <w:szCs w:val="10"/>
                <w:b w:val="1"/>
                <w:bCs w:val="1"/>
                <w:color w:val="auto"/>
              </w:rPr>
              <w:t>Total Core Average Portfolio Loans Receivable</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2,874,475</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2,768,175</w:t>
            </w:r>
          </w:p>
        </w:tc>
        <w:tc>
          <w:tcPr>
            <w:tcW w:w="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2,660,715</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2,612,451</w:t>
            </w:r>
          </w:p>
        </w:tc>
        <w:tc>
          <w:tcPr>
            <w:tcW w:w="6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2,515,387</w:t>
            </w:r>
          </w:p>
        </w:tc>
      </w:tr>
      <w:tr>
        <w:trPr>
          <w:trHeight w:val="136"/>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Core Portfolio Loans Receivable Yield</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6.93%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6.95%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6.74%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7.14%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7.14%</w:t>
            </w:r>
          </w:p>
        </w:tc>
      </w:tr>
    </w:tbl>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Pre-tax, Pre-Provision Net Revenue ("PPNR")</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2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1"/>
                <w:szCs w:val="11"/>
                <w:color w:val="auto"/>
              </w:rPr>
            </w:pPr>
          </w:p>
        </w:tc>
        <w:tc>
          <w:tcPr>
            <w:tcW w:w="110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143"/>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12,018</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15,037</w:t>
            </w: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15,065</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13,136</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13,932</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Income Tax Expense</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3,853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4,644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4,802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3,963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4,365</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 Provision for Credit Losses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4,081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2,246</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Provision for (Release of) Credit Losses on Unfunded Commitments</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217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7"/>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Pre-tax, Pre-Provision Net Revenue ("PPNR")</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19,090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23,640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24,734</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21,180</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20,543</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260"/>
          </w:cols>
          <w:pgMar w:left="300" w:top="289"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Core PPNR</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180" w:type="dxa"/>
            <w:vAlign w:val="bottom"/>
          </w:tcPr>
          <w:p>
            <w:pPr>
              <w:spacing w:after="0"/>
              <w:rPr>
                <w:sz w:val="11"/>
                <w:szCs w:val="11"/>
                <w:color w:val="auto"/>
              </w:rPr>
            </w:pPr>
          </w:p>
        </w:tc>
        <w:tc>
          <w:tcPr>
            <w:tcW w:w="112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143"/>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12,018</w:t>
            </w: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15,037</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15,065</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13,136</w:t>
            </w: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13,932</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Income Tax Expense</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3,853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4,644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4,802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3,963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4,365</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 Provision for Credit Losses</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4,650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4,081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2,246</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Provision for (Release of) Credit Losses on Unfunded Commitments</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205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217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Deduct: Income from the Call of Brokered Time Deposits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(4,618)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Merger-Related Expenses</w:t>
            </w:r>
          </w:p>
        </w:tc>
        <w:tc>
          <w:tcPr>
            <w:tcW w:w="180" w:type="dxa"/>
            <w:vAlign w:val="bottom"/>
          </w:tcPr>
          <w:p>
            <w:pPr>
              <w:spacing w:after="0"/>
              <w:rPr>
                <w:sz w:val="11"/>
                <w:szCs w:val="1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697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1,398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1,266</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 Non-Recurring Equity and Debt Investment Write-Down</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2"/>
        </w:trPr>
        <w:tc>
          <w:tcPr>
            <w:tcW w:w="4500" w:type="dxa"/>
            <w:vAlign w:val="bottom"/>
          </w:tcPr>
          <w:p>
            <w:pPr>
              <w:spacing w:after="0"/>
              <w:rPr>
                <w:sz w:val="20"/>
                <w:szCs w:val="20"/>
                <w:color w:val="auto"/>
              </w:rPr>
            </w:pPr>
            <w:r>
              <w:rPr>
                <w:rFonts w:ascii="Arial" w:cs="Arial" w:eastAsia="Arial" w:hAnsi="Arial"/>
                <w:sz w:val="10"/>
                <w:szCs w:val="10"/>
                <w:b w:val="1"/>
                <w:bCs w:val="1"/>
                <w:color w:val="auto"/>
              </w:rPr>
              <w:t>Core PPNR</w:t>
            </w: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19,090</w:t>
            </w:r>
          </w:p>
        </w:tc>
        <w:tc>
          <w:tcPr>
            <w:tcW w:w="60" w:type="dxa"/>
            <w:vAlign w:val="bottom"/>
          </w:tcPr>
          <w:p>
            <w:pPr>
              <w:spacing w:after="0"/>
              <w:rPr>
                <w:sz w:val="10"/>
                <w:szCs w:val="10"/>
                <w:color w:val="auto"/>
              </w:rPr>
            </w:pPr>
          </w:p>
        </w:tc>
        <w:tc>
          <w:tcPr>
            <w:tcW w:w="16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23,640</w:t>
            </w:r>
          </w:p>
        </w:tc>
        <w:tc>
          <w:tcPr>
            <w:tcW w:w="60" w:type="dxa"/>
            <w:vAlign w:val="bottom"/>
          </w:tcPr>
          <w:p>
            <w:pPr>
              <w:spacing w:after="0"/>
              <w:rPr>
                <w:sz w:val="10"/>
                <w:szCs w:val="10"/>
                <w:color w:val="auto"/>
              </w:rPr>
            </w:pPr>
          </w:p>
        </w:tc>
        <w:tc>
          <w:tcPr>
            <w:tcW w:w="14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20,813</w:t>
            </w:r>
          </w:p>
        </w:tc>
        <w:tc>
          <w:tcPr>
            <w:tcW w:w="6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22,578</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21,809</w:t>
            </w: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Allowance for Credit Losses to Total Portfolio Loans</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180" w:type="dxa"/>
            <w:vAlign w:val="bottom"/>
          </w:tcPr>
          <w:p>
            <w:pPr>
              <w:spacing w:after="0"/>
              <w:rPr>
                <w:sz w:val="10"/>
                <w:szCs w:val="10"/>
                <w:color w:val="auto"/>
              </w:rPr>
            </w:pPr>
          </w:p>
        </w:tc>
        <w:tc>
          <w:tcPr>
            <w:tcW w:w="112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44"/>
        </w:trPr>
        <w:tc>
          <w:tcPr>
            <w:tcW w:w="45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Allowance for Credit Losses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54,680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54,660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53,045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47,447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48,454</w:t>
            </w:r>
          </w:p>
        </w:tc>
      </w:tr>
      <w:tr>
        <w:trPr>
          <w:trHeight w:val="134"/>
        </w:trPr>
        <w:tc>
          <w:tcPr>
            <w:tcW w:w="4500" w:type="dxa"/>
            <w:vAlign w:val="bottom"/>
          </w:tcPr>
          <w:p>
            <w:pPr>
              <w:spacing w:after="0"/>
              <w:rPr>
                <w:sz w:val="20"/>
                <w:szCs w:val="20"/>
                <w:color w:val="auto"/>
              </w:rPr>
            </w:pPr>
            <w:r>
              <w:rPr>
                <w:rFonts w:ascii="Arial" w:cs="Arial" w:eastAsia="Arial" w:hAnsi="Arial"/>
                <w:sz w:val="10"/>
                <w:szCs w:val="10"/>
                <w:b w:val="1"/>
                <w:bCs w:val="1"/>
                <w:color w:val="auto"/>
              </w:rPr>
              <w:t>Total Portfolio Loans</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3,026,431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2,959,457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2,821,983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2,739,808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2,678,406</w:t>
            </w:r>
          </w:p>
        </w:tc>
      </w:tr>
      <w:tr>
        <w:trPr>
          <w:trHeight w:val="136"/>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Allowance for Credit Losses to Total Portfolio Loans</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1.88%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1.73%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1.81%</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Commercial Bank Allowance for Credit Losses to Commercial Bank Portfolio Loans</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180" w:type="dxa"/>
            <w:vAlign w:val="bottom"/>
          </w:tcPr>
          <w:p>
            <w:pPr>
              <w:spacing w:after="0"/>
              <w:rPr>
                <w:sz w:val="10"/>
                <w:szCs w:val="10"/>
                <w:color w:val="auto"/>
              </w:rPr>
            </w:pPr>
          </w:p>
        </w:tc>
        <w:tc>
          <w:tcPr>
            <w:tcW w:w="112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44"/>
        </w:trPr>
        <w:tc>
          <w:tcPr>
            <w:tcW w:w="45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Allowance for Credit Losses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54,680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54,660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53,045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47,447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48,454</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Allowance for Credit Losses</w:t>
            </w: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7,802</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8,232</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7,413</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6,762</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5,905</w:t>
            </w:r>
          </w:p>
        </w:tc>
      </w:tr>
      <w:tr>
        <w:trPr>
          <w:trHeight w:val="127"/>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Commercial Bank Allowance for Credit Losses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46,878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46,428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45,632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40,685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42,549</w:t>
            </w:r>
          </w:p>
        </w:tc>
      </w:tr>
      <w:tr>
        <w:trPr>
          <w:trHeight w:val="134"/>
        </w:trPr>
        <w:tc>
          <w:tcPr>
            <w:tcW w:w="4500" w:type="dxa"/>
            <w:vAlign w:val="bottom"/>
          </w:tcPr>
          <w:p>
            <w:pPr>
              <w:spacing w:after="0"/>
              <w:rPr>
                <w:sz w:val="20"/>
                <w:szCs w:val="20"/>
                <w:color w:val="auto"/>
              </w:rPr>
            </w:pPr>
            <w:r>
              <w:rPr>
                <w:rFonts w:ascii="Arial" w:cs="Arial" w:eastAsia="Arial" w:hAnsi="Arial"/>
                <w:sz w:val="10"/>
                <w:szCs w:val="10"/>
                <w:b w:val="1"/>
                <w:bCs w:val="1"/>
                <w:color w:val="auto"/>
              </w:rPr>
              <w:t>Total Portfolio Loans</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3,026,431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2,959,457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2,821,983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2,739,808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2,678,406</w:t>
            </w:r>
          </w:p>
        </w:tc>
      </w:tr>
      <w:tr>
        <w:trPr>
          <w:trHeight w:val="136"/>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Gross Credit Card Loans</w:t>
            </w:r>
          </w:p>
        </w:tc>
        <w:tc>
          <w:tcPr>
            <w:tcW w:w="1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131,887</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137,905</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130,897</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126,233</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115,991</w:t>
            </w:r>
          </w:p>
        </w:tc>
      </w:tr>
      <w:tr>
        <w:trPr>
          <w:trHeight w:val="123"/>
        </w:trPr>
        <w:tc>
          <w:tcPr>
            <w:tcW w:w="4500" w:type="dxa"/>
            <w:vAlign w:val="bottom"/>
          </w:tcPr>
          <w:p>
            <w:pPr>
              <w:spacing w:after="0"/>
              <w:rPr>
                <w:sz w:val="20"/>
                <w:szCs w:val="20"/>
                <w:color w:val="auto"/>
              </w:rPr>
            </w:pPr>
            <w:r>
              <w:rPr>
                <w:rFonts w:ascii="Arial" w:cs="Arial" w:eastAsia="Arial" w:hAnsi="Arial"/>
                <w:sz w:val="10"/>
                <w:szCs w:val="10"/>
                <w:b w:val="1"/>
                <w:bCs w:val="1"/>
                <w:color w:val="auto"/>
              </w:rPr>
              <w:t>Commercial Bank Portfolio Loans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2,894,544</w:t>
            </w:r>
          </w:p>
        </w:tc>
        <w:tc>
          <w:tcPr>
            <w:tcW w:w="60" w:type="dxa"/>
            <w:vAlign w:val="bottom"/>
          </w:tcPr>
          <w:p>
            <w:pPr>
              <w:spacing w:after="0"/>
              <w:rPr>
                <w:sz w:val="10"/>
                <w:szCs w:val="10"/>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2,821,552</w:t>
            </w:r>
          </w:p>
        </w:tc>
        <w:tc>
          <w:tcPr>
            <w:tcW w:w="60" w:type="dxa"/>
            <w:vAlign w:val="bottom"/>
          </w:tcPr>
          <w:p>
            <w:pPr>
              <w:spacing w:after="0"/>
              <w:rPr>
                <w:sz w:val="10"/>
                <w:szCs w:val="10"/>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2,691,086</w:t>
            </w:r>
          </w:p>
        </w:tc>
        <w:tc>
          <w:tcPr>
            <w:tcW w:w="6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2,613,575</w:t>
            </w: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2,562,415</w:t>
            </w:r>
          </w:p>
        </w:tc>
      </w:tr>
      <w:tr>
        <w:trPr>
          <w:trHeight w:val="136"/>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Commercial Bank Allowance for Credit Losses to Total Portfolio Loans</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1.62%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1.65%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1.70%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1.67%</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Nonperforming Assets to Total Assets</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180" w:type="dxa"/>
            <w:vAlign w:val="bottom"/>
          </w:tcPr>
          <w:p>
            <w:pPr>
              <w:spacing w:after="0"/>
              <w:rPr>
                <w:sz w:val="10"/>
                <w:szCs w:val="10"/>
                <w:color w:val="auto"/>
              </w:rPr>
            </w:pPr>
          </w:p>
        </w:tc>
        <w:tc>
          <w:tcPr>
            <w:tcW w:w="112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44"/>
        </w:trPr>
        <w:tc>
          <w:tcPr>
            <w:tcW w:w="45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Nonperforming Assets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59,273</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58,276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52,247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42,934</w:t>
            </w:r>
          </w:p>
        </w:tc>
      </w:tr>
      <w:tr>
        <w:trPr>
          <w:trHeight w:val="134"/>
        </w:trPr>
        <w:tc>
          <w:tcPr>
            <w:tcW w:w="4500" w:type="dxa"/>
            <w:vAlign w:val="bottom"/>
          </w:tcPr>
          <w:p>
            <w:pPr>
              <w:spacing w:after="0"/>
              <w:rPr>
                <w:sz w:val="20"/>
                <w:szCs w:val="20"/>
                <w:color w:val="auto"/>
              </w:rPr>
            </w:pPr>
            <w:r>
              <w:rPr>
                <w:rFonts w:ascii="Arial" w:cs="Arial" w:eastAsia="Arial" w:hAnsi="Arial"/>
                <w:sz w:val="10"/>
                <w:szCs w:val="10"/>
                <w:b w:val="1"/>
                <w:bCs w:val="1"/>
                <w:color w:val="auto"/>
              </w:rPr>
              <w:t>Total Assets</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3,808,467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3,606,207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3,389,442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3,388,662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3,349,805</w:t>
            </w:r>
          </w:p>
        </w:tc>
      </w:tr>
      <w:tr>
        <w:trPr>
          <w:trHeight w:val="136"/>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Nonperforming Assets to Total Assets</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1.62%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1.54%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1.28%</w:t>
            </w: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Nonperforming Loans to Total Portfolio Loans</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180" w:type="dxa"/>
            <w:vAlign w:val="bottom"/>
          </w:tcPr>
          <w:p>
            <w:pPr>
              <w:spacing w:after="0"/>
              <w:rPr>
                <w:sz w:val="10"/>
                <w:szCs w:val="10"/>
                <w:color w:val="auto"/>
              </w:rPr>
            </w:pPr>
          </w:p>
        </w:tc>
        <w:tc>
          <w:tcPr>
            <w:tcW w:w="112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44"/>
        </w:trPr>
        <w:tc>
          <w:tcPr>
            <w:tcW w:w="45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Nonperforming Loans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55,417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54,421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52,247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42,934</w:t>
            </w:r>
          </w:p>
        </w:tc>
      </w:tr>
      <w:tr>
        <w:trPr>
          <w:trHeight w:val="134"/>
        </w:trPr>
        <w:tc>
          <w:tcPr>
            <w:tcW w:w="4500" w:type="dxa"/>
            <w:vAlign w:val="bottom"/>
          </w:tcPr>
          <w:p>
            <w:pPr>
              <w:spacing w:after="0"/>
              <w:rPr>
                <w:sz w:val="20"/>
                <w:szCs w:val="20"/>
                <w:color w:val="auto"/>
              </w:rPr>
            </w:pPr>
            <w:r>
              <w:rPr>
                <w:rFonts w:ascii="Arial" w:cs="Arial" w:eastAsia="Arial" w:hAnsi="Arial"/>
                <w:sz w:val="10"/>
                <w:szCs w:val="10"/>
                <w:b w:val="1"/>
                <w:bCs w:val="1"/>
                <w:color w:val="auto"/>
              </w:rPr>
              <w:t>Total Portfolio Loans</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3,026,431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2,959,457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2,821,983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2,739,808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2,678,406</w:t>
            </w:r>
          </w:p>
        </w:tc>
      </w:tr>
      <w:tr>
        <w:trPr>
          <w:trHeight w:val="136"/>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Nonperforming Loans to Total Portfolio Loans</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1.83%</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1.85%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1.32%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1.60%</w:t>
            </w:r>
          </w:p>
        </w:tc>
      </w:tr>
    </w:tbl>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240"/>
          </w:cols>
          <w:pgMar w:left="300" w:top="289"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Net Charge-Offs to Average Portfolio Loans</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8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2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0"/>
                <w:szCs w:val="10"/>
                <w:color w:val="auto"/>
              </w:rPr>
            </w:pPr>
          </w:p>
        </w:tc>
        <w:tc>
          <w:tcPr>
            <w:tcW w:w="110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44"/>
        </w:trPr>
        <w:tc>
          <w:tcPr>
            <w:tcW w:w="45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Net Charge-Offs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5,088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2,444</w:t>
            </w:r>
          </w:p>
        </w:tc>
      </w:tr>
      <w:tr>
        <w:trPr>
          <w:trHeight w:val="134"/>
        </w:trPr>
        <w:tc>
          <w:tcPr>
            <w:tcW w:w="4500" w:type="dxa"/>
            <w:vAlign w:val="bottom"/>
          </w:tcPr>
          <w:p>
            <w:pPr>
              <w:ind w:left="20"/>
              <w:spacing w:after="0"/>
              <w:rPr>
                <w:sz w:val="20"/>
                <w:szCs w:val="20"/>
                <w:color w:val="auto"/>
              </w:rPr>
            </w:pPr>
            <w:r>
              <w:rPr>
                <w:rFonts w:ascii="Arial" w:cs="Arial" w:eastAsia="Arial" w:hAnsi="Arial"/>
                <w:sz w:val="10"/>
                <w:szCs w:val="10"/>
                <w:b w:val="1"/>
                <w:bCs w:val="1"/>
                <w:color w:val="auto"/>
              </w:rPr>
              <w:t>Total Average Portfolio Loans</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3,008,187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2,902,033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2,789,815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2,733,865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2,634,110</w:t>
            </w:r>
          </w:p>
        </w:tc>
      </w:tr>
      <w:tr>
        <w:trPr>
          <w:trHeight w:val="136"/>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Charge-Offs to Average Portfolio Loans, Annualized</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0.40%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0.32%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0.35%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0.75%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0.38%</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Tangible Book Value per Share</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ind w:left="20"/>
              <w:spacing w:after="0"/>
              <w:rPr>
                <w:sz w:val="20"/>
                <w:szCs w:val="20"/>
                <w:color w:val="auto"/>
              </w:rPr>
            </w:pPr>
            <w:r>
              <w:rPr>
                <w:rFonts w:ascii="Arial" w:cs="Arial" w:eastAsia="Arial" w:hAnsi="Arial"/>
                <w:sz w:val="7"/>
                <w:szCs w:val="7"/>
                <w:color w:val="auto"/>
              </w:rPr>
              <w:t>(in thousands, except share and per share data)</w:t>
            </w:r>
          </w:p>
        </w:tc>
        <w:tc>
          <w:tcPr>
            <w:tcW w:w="18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2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1"/>
                <w:szCs w:val="11"/>
                <w:color w:val="auto"/>
              </w:rPr>
            </w:pPr>
          </w:p>
        </w:tc>
        <w:tc>
          <w:tcPr>
            <w:tcW w:w="1100" w:type="dxa"/>
            <w:vAlign w:val="bottom"/>
          </w:tcPr>
          <w:p>
            <w:pPr>
              <w:jc w:val="right"/>
              <w:ind w:right="252"/>
              <w:spacing w:after="0"/>
              <w:rPr>
                <w:sz w:val="20"/>
                <w:szCs w:val="20"/>
                <w:color w:val="auto"/>
              </w:rPr>
            </w:pPr>
            <w:r>
              <w:rPr>
                <w:rFonts w:ascii="Arial" w:cs="Arial" w:eastAsia="Arial" w:hAnsi="Arial"/>
                <w:sz w:val="10"/>
                <w:szCs w:val="10"/>
                <w:b w:val="1"/>
                <w:bCs w:val="1"/>
                <w:color w:val="auto"/>
              </w:rPr>
              <w:t>March 31, 2025</w:t>
            </w:r>
          </w:p>
        </w:tc>
      </w:tr>
      <w:tr>
        <w:trPr>
          <w:trHeight w:val="143"/>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Stockholders' Equity</w:t>
            </w: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408,859</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401,757</w:t>
            </w: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394,770</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380,035</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369,577</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40,480</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40,740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41,002</w:t>
            </w: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37,773</w:t>
            </w: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39,641</w:t>
            </w:r>
          </w:p>
        </w:tc>
      </w:tr>
      <w:tr>
        <w:trPr>
          <w:trHeight w:val="127"/>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Tangible Common Equity</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368,379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361,017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353,768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342,262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329,936</w:t>
            </w:r>
          </w:p>
        </w:tc>
      </w:tr>
      <w:tr>
        <w:trPr>
          <w:trHeight w:val="132"/>
        </w:trPr>
        <w:tc>
          <w:tcPr>
            <w:tcW w:w="4500" w:type="dxa"/>
            <w:vAlign w:val="bottom"/>
          </w:tcPr>
          <w:p>
            <w:pPr>
              <w:ind w:left="20"/>
              <w:spacing w:after="0"/>
              <w:rPr>
                <w:sz w:val="20"/>
                <w:szCs w:val="20"/>
                <w:color w:val="auto"/>
              </w:rPr>
            </w:pPr>
            <w:r>
              <w:rPr>
                <w:rFonts w:ascii="Arial" w:cs="Arial" w:eastAsia="Arial" w:hAnsi="Arial"/>
                <w:sz w:val="10"/>
                <w:szCs w:val="10"/>
                <w:color w:val="auto"/>
              </w:rPr>
              <w:t>Period End Shares Outstanding</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16,286,480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16,373,288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16,589,241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16,581,990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16,657,168</w:t>
            </w:r>
          </w:p>
        </w:tc>
      </w:tr>
      <w:tr>
        <w:trPr>
          <w:trHeight w:val="138"/>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Tangible Book Value per Share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20.64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19.81</w:t>
            </w: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60" w:type="dxa"/>
            <w:vAlign w:val="bottom"/>
          </w:tcPr>
          <w:p>
            <w:pPr>
              <w:spacing w:after="0"/>
              <w:rPr>
                <w:sz w:val="20"/>
                <w:szCs w:val="20"/>
                <w:color w:val="auto"/>
              </w:rPr>
            </w:pPr>
            <w:r>
              <w:rPr>
                <w:rFonts w:ascii="Arial" w:cs="Arial" w:eastAsia="Arial" w:hAnsi="Arial"/>
                <w:sz w:val="11"/>
                <w:szCs w:val="11"/>
                <w:b w:val="1"/>
                <w:bCs w:val="1"/>
                <w:color w:val="auto"/>
              </w:rPr>
              <w:t>Return on Average Tangible Common Equity</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32"/>
        </w:trPr>
        <w:tc>
          <w:tcPr>
            <w:tcW w:w="4260" w:type="dxa"/>
            <w:vAlign w:val="bottom"/>
          </w:tcPr>
          <w:p>
            <w:pPr>
              <w:spacing w:after="0"/>
              <w:rPr>
                <w:sz w:val="20"/>
                <w:szCs w:val="20"/>
                <w:color w:val="auto"/>
              </w:rPr>
            </w:pPr>
            <w:r>
              <w:rPr>
                <w:rFonts w:ascii="Arial" w:cs="Arial" w:eastAsia="Arial" w:hAnsi="Arial"/>
                <w:sz w:val="7"/>
                <w:szCs w:val="7"/>
                <w:color w:val="auto"/>
              </w:rPr>
              <w:t>(in thousands)</w:t>
            </w:r>
          </w:p>
        </w:tc>
        <w:tc>
          <w:tcPr>
            <w:tcW w:w="200" w:type="dxa"/>
            <w:vAlign w:val="bottom"/>
          </w:tcPr>
          <w:p>
            <w:pPr>
              <w:spacing w:after="0"/>
              <w:rPr>
                <w:sz w:val="11"/>
                <w:szCs w:val="11"/>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1"/>
                <w:szCs w:val="11"/>
                <w:color w:val="auto"/>
              </w:rPr>
            </w:pPr>
          </w:p>
        </w:tc>
        <w:tc>
          <w:tcPr>
            <w:tcW w:w="128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1"/>
                <w:szCs w:val="11"/>
                <w:color w:val="auto"/>
              </w:rPr>
            </w:pPr>
          </w:p>
        </w:tc>
        <w:tc>
          <w:tcPr>
            <w:tcW w:w="116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1"/>
                <w:szCs w:val="11"/>
                <w:color w:val="auto"/>
              </w:rPr>
            </w:pPr>
          </w:p>
        </w:tc>
        <w:tc>
          <w:tcPr>
            <w:tcW w:w="1140" w:type="dxa"/>
            <w:vAlign w:val="bottom"/>
          </w:tcPr>
          <w:p>
            <w:pPr>
              <w:jc w:val="right"/>
              <w:ind w:right="292"/>
              <w:spacing w:after="0"/>
              <w:rPr>
                <w:sz w:val="20"/>
                <w:szCs w:val="20"/>
                <w:color w:val="auto"/>
              </w:rPr>
            </w:pPr>
            <w:r>
              <w:rPr>
                <w:rFonts w:ascii="Arial" w:cs="Arial" w:eastAsia="Arial" w:hAnsi="Arial"/>
                <w:sz w:val="10"/>
                <w:szCs w:val="10"/>
                <w:b w:val="1"/>
                <w:bCs w:val="1"/>
                <w:color w:val="auto"/>
              </w:rPr>
              <w:t>March 31, 2025</w:t>
            </w:r>
          </w:p>
        </w:tc>
      </w:tr>
      <w:tr>
        <w:trPr>
          <w:trHeight w:val="143"/>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12,018</w:t>
            </w: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15,065</w:t>
            </w:r>
          </w:p>
        </w:tc>
        <w:tc>
          <w:tcPr>
            <w:tcW w:w="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13,136</w:t>
            </w:r>
          </w:p>
        </w:tc>
        <w:tc>
          <w:tcPr>
            <w:tcW w:w="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13,932</w:t>
            </w:r>
          </w:p>
        </w:tc>
      </w:tr>
      <w:tr>
        <w:trPr>
          <w:trHeight w:val="132"/>
        </w:trPr>
        <w:tc>
          <w:tcPr>
            <w:tcW w:w="426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Intangible Amortization, Net of Tax</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197</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200</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199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200</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199</w:t>
            </w:r>
          </w:p>
        </w:tc>
      </w:tr>
      <w:tr>
        <w:trPr>
          <w:trHeight w:val="127"/>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Tangible Income</w:t>
            </w: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12,215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15,237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15,264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13,336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14,131</w:t>
            </w: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Average Equity</w:t>
            </w:r>
          </w:p>
        </w:tc>
        <w:tc>
          <w:tcPr>
            <w:tcW w:w="200" w:type="dxa"/>
            <w:vAlign w:val="bottom"/>
          </w:tcPr>
          <w:p>
            <w:pPr>
              <w:spacing w:after="0"/>
              <w:rPr>
                <w:sz w:val="11"/>
                <w:szCs w:val="11"/>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405,302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391,750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71"/>
              <w:spacing w:after="0"/>
              <w:rPr>
                <w:sz w:val="20"/>
                <w:szCs w:val="20"/>
                <w:color w:val="auto"/>
              </w:rPr>
            </w:pPr>
            <w:r>
              <w:rPr>
                <w:rFonts w:ascii="Arial" w:cs="Arial" w:eastAsia="Arial" w:hAnsi="Arial"/>
                <w:sz w:val="10"/>
                <w:szCs w:val="10"/>
                <w:color w:val="auto"/>
              </w:rPr>
              <w:t>383,922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371,795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363,115</w:t>
            </w:r>
          </w:p>
        </w:tc>
      </w:tr>
      <w:tr>
        <w:trPr>
          <w:trHeight w:val="136"/>
        </w:trPr>
        <w:tc>
          <w:tcPr>
            <w:tcW w:w="426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Intangible Assets</w:t>
            </w:r>
          </w:p>
        </w:tc>
        <w:tc>
          <w:tcPr>
            <w:tcW w:w="2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40,628</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40,884</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37,706</w:t>
            </w:r>
          </w:p>
        </w:tc>
        <w:tc>
          <w:tcPr>
            <w:tcW w:w="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39,534</w:t>
            </w:r>
          </w:p>
        </w:tc>
        <w:tc>
          <w:tcPr>
            <w:tcW w:w="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36,896</w:t>
            </w:r>
          </w:p>
        </w:tc>
      </w:tr>
      <w:tr>
        <w:trPr>
          <w:trHeight w:val="123"/>
        </w:trPr>
        <w:tc>
          <w:tcPr>
            <w:tcW w:w="4260" w:type="dxa"/>
            <w:vAlign w:val="bottom"/>
          </w:tcPr>
          <w:p>
            <w:pPr>
              <w:spacing w:after="0"/>
              <w:rPr>
                <w:sz w:val="20"/>
                <w:szCs w:val="20"/>
                <w:color w:val="auto"/>
              </w:rPr>
            </w:pPr>
            <w:r>
              <w:rPr>
                <w:rFonts w:ascii="Arial" w:cs="Arial" w:eastAsia="Arial" w:hAnsi="Arial"/>
                <w:sz w:val="10"/>
                <w:szCs w:val="10"/>
                <w:b w:val="1"/>
                <w:bCs w:val="1"/>
                <w:color w:val="auto"/>
              </w:rPr>
              <w:t>Net Average Tangible Common Equity</w:t>
            </w: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364,674</w:t>
            </w:r>
          </w:p>
        </w:tc>
        <w:tc>
          <w:tcPr>
            <w:tcW w:w="60" w:type="dxa"/>
            <w:vAlign w:val="bottom"/>
          </w:tcPr>
          <w:p>
            <w:pPr>
              <w:spacing w:after="0"/>
              <w:rPr>
                <w:sz w:val="10"/>
                <w:szCs w:val="10"/>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350,866</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1"/>
              <w:spacing w:after="0"/>
              <w:rPr>
                <w:sz w:val="20"/>
                <w:szCs w:val="20"/>
                <w:color w:val="auto"/>
              </w:rPr>
            </w:pPr>
            <w:r>
              <w:rPr>
                <w:rFonts w:ascii="Arial" w:cs="Arial" w:eastAsia="Arial" w:hAnsi="Arial"/>
                <w:sz w:val="10"/>
                <w:szCs w:val="10"/>
                <w:color w:val="auto"/>
              </w:rPr>
              <w:t>346,216</w:t>
            </w: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332,261</w:t>
            </w: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326,219</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Return on Average Equity</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14.17 %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15.56 %</w:t>
            </w:r>
          </w:p>
        </w:tc>
      </w:tr>
      <w:tr>
        <w:trPr>
          <w:trHeight w:val="133"/>
        </w:trPr>
        <w:tc>
          <w:tcPr>
            <w:tcW w:w="4260" w:type="dxa"/>
            <w:vAlign w:val="bottom"/>
          </w:tcPr>
          <w:p>
            <w:pPr>
              <w:spacing w:after="0"/>
              <w:rPr>
                <w:sz w:val="20"/>
                <w:szCs w:val="20"/>
                <w:color w:val="auto"/>
              </w:rPr>
            </w:pPr>
            <w:r>
              <w:rPr>
                <w:rFonts w:ascii="Arial" w:cs="Arial" w:eastAsia="Arial" w:hAnsi="Arial"/>
                <w:sz w:val="10"/>
                <w:szCs w:val="10"/>
                <w:b w:val="1"/>
                <w:bCs w:val="1"/>
                <w:color w:val="auto"/>
              </w:rPr>
              <w:t>Return on Average Tangible Common Equity</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13.58 %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17.23 %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17.49 %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16.10 %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17.57 %</w:t>
            </w: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80" w:type="dxa"/>
            <w:vAlign w:val="bottom"/>
          </w:tcPr>
          <w:p>
            <w:pPr>
              <w:spacing w:after="0"/>
              <w:rPr>
                <w:sz w:val="20"/>
                <w:szCs w:val="20"/>
                <w:color w:val="auto"/>
              </w:rPr>
            </w:pPr>
            <w:r>
              <w:rPr>
                <w:rFonts w:ascii="Arial" w:cs="Arial" w:eastAsia="Arial" w:hAnsi="Arial"/>
                <w:sz w:val="11"/>
                <w:szCs w:val="11"/>
                <w:b w:val="1"/>
                <w:bCs w:val="1"/>
                <w:color w:val="auto"/>
              </w:rPr>
              <w:t>Core Return on Average Tangible Common Equity</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32"/>
        </w:trPr>
        <w:tc>
          <w:tcPr>
            <w:tcW w:w="4280" w:type="dxa"/>
            <w:vAlign w:val="bottom"/>
          </w:tcPr>
          <w:p>
            <w:pPr>
              <w:spacing w:after="0"/>
              <w:rPr>
                <w:sz w:val="20"/>
                <w:szCs w:val="20"/>
                <w:color w:val="auto"/>
              </w:rPr>
            </w:pPr>
            <w:r>
              <w:rPr>
                <w:rFonts w:ascii="Arial" w:cs="Arial" w:eastAsia="Arial" w:hAnsi="Arial"/>
                <w:sz w:val="7"/>
                <w:szCs w:val="7"/>
                <w:color w:val="auto"/>
              </w:rPr>
              <w:t>(in thousands)</w:t>
            </w:r>
          </w:p>
        </w:tc>
        <w:tc>
          <w:tcPr>
            <w:tcW w:w="200" w:type="dxa"/>
            <w:vAlign w:val="bottom"/>
          </w:tcPr>
          <w:p>
            <w:pPr>
              <w:spacing w:after="0"/>
              <w:rPr>
                <w:sz w:val="11"/>
                <w:szCs w:val="11"/>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8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200" w:type="dxa"/>
            <w:vAlign w:val="bottom"/>
          </w:tcPr>
          <w:p>
            <w:pPr>
              <w:spacing w:after="0"/>
              <w:rPr>
                <w:sz w:val="11"/>
                <w:szCs w:val="11"/>
                <w:color w:val="auto"/>
              </w:rPr>
            </w:pPr>
          </w:p>
        </w:tc>
        <w:tc>
          <w:tcPr>
            <w:tcW w:w="116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2025</w:t>
            </w:r>
          </w:p>
        </w:tc>
        <w:tc>
          <w:tcPr>
            <w:tcW w:w="200" w:type="dxa"/>
            <w:vAlign w:val="bottom"/>
          </w:tcPr>
          <w:p>
            <w:pPr>
              <w:spacing w:after="0"/>
              <w:rPr>
                <w:sz w:val="11"/>
                <w:szCs w:val="11"/>
                <w:color w:val="auto"/>
              </w:rPr>
            </w:pPr>
          </w:p>
        </w:tc>
        <w:tc>
          <w:tcPr>
            <w:tcW w:w="1140" w:type="dxa"/>
            <w:vAlign w:val="bottom"/>
          </w:tcPr>
          <w:p>
            <w:pPr>
              <w:jc w:val="right"/>
              <w:ind w:right="292"/>
              <w:spacing w:after="0"/>
              <w:rPr>
                <w:sz w:val="20"/>
                <w:szCs w:val="20"/>
                <w:color w:val="auto"/>
              </w:rPr>
            </w:pPr>
            <w:r>
              <w:rPr>
                <w:rFonts w:ascii="Arial" w:cs="Arial" w:eastAsia="Arial" w:hAnsi="Arial"/>
                <w:sz w:val="10"/>
                <w:szCs w:val="10"/>
                <w:b w:val="1"/>
                <w:bCs w:val="1"/>
                <w:color w:val="auto"/>
              </w:rPr>
              <w:t>March 31, 2025</w:t>
            </w:r>
          </w:p>
        </w:tc>
      </w:tr>
      <w:tr>
        <w:trPr>
          <w:trHeight w:val="143"/>
        </w:trPr>
        <w:tc>
          <w:tcPr>
            <w:tcW w:w="42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Income</w:t>
            </w: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12,018</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12,151</w:t>
            </w:r>
          </w:p>
        </w:tc>
        <w:tc>
          <w:tcPr>
            <w:tcW w:w="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14,206</w:t>
            </w:r>
          </w:p>
        </w:tc>
        <w:tc>
          <w:tcPr>
            <w:tcW w:w="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14,896</w:t>
            </w:r>
          </w:p>
        </w:tc>
      </w:tr>
      <w:tr>
        <w:trPr>
          <w:trHeight w:val="132"/>
        </w:trPr>
        <w:tc>
          <w:tcPr>
            <w:tcW w:w="42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Intangible Amortization, Net of Tax</w:t>
            </w: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197</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200</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199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200</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199</w:t>
            </w:r>
          </w:p>
        </w:tc>
      </w:tr>
      <w:tr>
        <w:trPr>
          <w:trHeight w:val="127"/>
        </w:trPr>
        <w:tc>
          <w:tcPr>
            <w:tcW w:w="42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Tangible Income</w:t>
            </w: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15,237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12,350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14,406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15,095</w:t>
            </w:r>
          </w:p>
        </w:tc>
      </w:tr>
      <w:tr>
        <w:trPr>
          <w:trHeight w:val="133"/>
        </w:trPr>
        <w:tc>
          <w:tcPr>
            <w:tcW w:w="4280" w:type="dxa"/>
            <w:vAlign w:val="bottom"/>
          </w:tcPr>
          <w:p>
            <w:pPr>
              <w:spacing w:after="0"/>
              <w:rPr>
                <w:sz w:val="20"/>
                <w:szCs w:val="20"/>
                <w:color w:val="auto"/>
              </w:rPr>
            </w:pPr>
            <w:r>
              <w:rPr>
                <w:rFonts w:ascii="Arial" w:cs="Arial" w:eastAsia="Arial" w:hAnsi="Arial"/>
                <w:sz w:val="10"/>
                <w:szCs w:val="10"/>
                <w:b w:val="1"/>
                <w:bCs w:val="1"/>
                <w:color w:val="auto"/>
              </w:rPr>
              <w:t>Core Return on Average Tangible Common Equity</w:t>
            </w: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13.58 %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17.23 %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14.15 %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17.39 %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18.77 %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260"/>
          </w:cols>
          <w:pgMar w:left="300" w:top="289" w:right="33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ABOUT CAPITAL BANCORP, INC.</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Capital Bancorp, Inc., Rockville, Maryland is a registered bank holding company incorporated under the laws of Maryland. Capital Bancorp has been providing financial services since 1999 and now operates bank branches in four locations in the Washington, D.C., Baltimore, other Maryland markets, one bank branch in Fort Lauderdale, Florida, one bank branch in Chicago, Illinois and one bank branch in Raleigh, North Carolina. Capital Bancorp had assets of approximately $3.8 billion at March 31, 2026 and its common stock is traded in the NASDAQ Global Market under the symbol “CBNK.” More information can be found at the Company's website www.CapitalBankMD.com under its investor relations page.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1"/>
          <w:szCs w:val="11"/>
          <w:color w:val="auto"/>
        </w:rPr>
        <w:t>This earnings release contains forward-looking statements.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"optimistic," “intends” and similar words or phrases. Any or all of the forward-looking statements in this earnings release may turn out to be inaccurate. The inclusion of forward-looking information in this earnings release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Our actual results could differ materially from those anticipated in such forward-looking statements. Accordingly, we caution you that any such forward-looking statements are not a guarantee of future performance and that actual results may prove to be materially different from the results expressed or implied by the forward-looking statements due to a number of factors. For details on some of the factors that could affect these expectations, see risk factors and other cautionary language included in the Company's Annual Report on Form 10-K and other periodic and current reports filed with the Securities and Exchange Commission.</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While there is no assurance that any list of risks and uncertainties or risk factors is complete, below are certain factors which could cause actual results to differ materially from those contained or implied in the forward-looking statements: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the strength of the United States (“U.S.”) economy in general and the strength of the local economies in</w:t>
      </w:r>
    </w:p>
    <w:p>
      <w:pPr>
        <w:ind w:right="20"/>
        <w:spacing w:after="0" w:line="235" w:lineRule="auto"/>
        <w:rPr>
          <w:sz w:val="20"/>
          <w:szCs w:val="20"/>
          <w:color w:val="auto"/>
        </w:rPr>
      </w:pPr>
      <w:r>
        <w:rPr>
          <w:rFonts w:ascii="Arial" w:cs="Arial" w:eastAsia="Arial" w:hAnsi="Arial"/>
          <w:sz w:val="11"/>
          <w:szCs w:val="11"/>
          <w:color w:val="auto"/>
        </w:rPr>
        <w:t>which we conduct operations; geopolitical concerns, including acts or threats of terrorism and the ongoing wars in Israel, Iran and Ukraine; uncertainty in U.S. fiscal and monetary policy, including the interest rate policies of the Board of Governors of the Federal Reserve System; inflation, interest rate, market, and monetary fluctuations; volatility and disruptions in global capital and credit markets; changes in U.S. trade policies, including the implementation of tariffs and other protectionist trade policies; the effects of federal government shutdowns, debt ceiling standoff, or other fiscal policy uncertainty; competitive pressures on product pricing and services; success, impact, and timing of our business strategies, including market acceptance of any new products or services; the impact of changes in financial services policies, laws, and regulations, including those concerning taxes, banking, securities, and insurance, and the application thereof by regulatory bodies; cybersecurity threats and the cost of defending against them; climate change, and other catastrophic disasters; the effectiveness of the Company's internal control over financial reporting and disclosure controls and procedures; the Company’s ability to remediate the material weakness in the Company’s internal control over financial reporting; the effect of the IFH acquisition or any other acquisitions we have made or may make, including, without limitation, the failure to achieve the expected revenue growth and/or expense savings from such acquisitions, and/or the failure to effectively integrate an acquisition target into our operations, including the planned growth of Windsor Advantage</w:t>
      </w:r>
      <w:r>
        <w:rPr>
          <w:rFonts w:ascii="Arial" w:cs="Arial" w:eastAsia="Arial" w:hAnsi="Arial"/>
          <w:sz w:val="14"/>
          <w:szCs w:val="14"/>
          <w:color w:val="auto"/>
          <w:vertAlign w:val="superscript"/>
        </w:rPr>
        <w:t>TM</w:t>
      </w:r>
      <w:r>
        <w:rPr>
          <w:rFonts w:ascii="Arial" w:cs="Arial" w:eastAsia="Arial" w:hAnsi="Arial"/>
          <w:sz w:val="11"/>
          <w:szCs w:val="11"/>
          <w:color w:val="auto"/>
        </w:rPr>
        <w:t>; and other factors that may affect our future results.</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These forward-looking statements are made as of the date of this communication, and the Company does not intend, and assumes no obligation, to update any forward-looking statement to reflect events or circumstances after the date on which the statement is made or to reflect the occurrence of unanticipated events or circumstances, except as required by law.</w:t>
      </w: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FINANCIAL CONTACT: Jake Dalaya (301) 637-5118</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MEDIA CONTACT: Ed Barry (240) 283-1912</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WEB SITE: www.CapitalBankMD.com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000" w:right="299" w:bottom="144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bullet"/>
      <w:start w:val="1"/>
    </w:lvl>
  </w:abstractNum>
  <w:abstractNum w:abstractNumId="7">
    <w:nsid w:val="25E45D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3"/>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2026-04-27T15:35:23Z</dcterms:created>
  <dcterms:modified xsi:type="dcterms:W3CDTF">2026-04-27T15:35:23Z</dcterms:modified>
</cp:coreProperties>
</file>