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36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Washington, D.C. 20549</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FORM 10-Q </w:t>
      </w:r>
    </w:p>
    <w:p>
      <w:pPr>
        <w:pStyle w:val="TextBody"/>
        <w:bidi w:val="0"/>
        <w:spacing w:lineRule="auto" w:line="288" w:before="0" w:after="60"/>
        <w:jc w:val="both"/>
        <w:rPr/>
      </w:pPr>
      <w:r>
        <w:rPr>
          <w:color w:val="000000"/>
        </w:rPr>
        <w:t xml:space="preserve">☒ </w:t>
      </w:r>
      <w:r>
        <w:rPr>
          <w:rFonts w:ascii="Arial;sans-serif" w:hAnsi="Arial;sans-serif"/>
          <w:b w:val="false"/>
          <w:color w:val="000000"/>
          <w:sz w:val="16"/>
        </w:rPr>
        <w:t>QUARTERLY REPORT PURSUANT TO SECTION 13 OR 15(d) OF THE SECURITIES EXCHANGE ACT OF 1934</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For the Quarterly Period ended March 31, 2026         OR</w:t>
      </w:r>
    </w:p>
    <w:p>
      <w:pPr>
        <w:pStyle w:val="TextBody"/>
        <w:bidi w:val="0"/>
        <w:spacing w:lineRule="auto" w:line="288" w:before="0" w:after="60"/>
        <w:jc w:val="both"/>
        <w:rPr/>
      </w:pPr>
      <w:r>
        <w:rPr>
          <w:color w:val="000000"/>
        </w:rPr>
        <w:t xml:space="preserve">☐ </w:t>
      </w:r>
      <w:r>
        <w:rPr>
          <w:rFonts w:ascii="Arial;sans-serif" w:hAnsi="Arial;sans-serif"/>
          <w:b w:val="false"/>
          <w:color w:val="000000"/>
          <w:sz w:val="16"/>
        </w:rPr>
        <w:t>TRANSITION REPORT PURSUANT TO SECTION 13 OR 15 (d) OF THE SECURITIES EXCHANGE ACT OF 1934</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 xml:space="preserve">For the Transition Period from to </w:t>
      </w:r>
    </w:p>
    <w:p>
      <w:pPr>
        <w:pStyle w:val="TextBody"/>
        <w:bidi w:val="0"/>
        <w:spacing w:lineRule="auto" w:line="288" w:before="0" w:after="240"/>
        <w:jc w:val="both"/>
        <w:rPr>
          <w:rFonts w:ascii="Arial;sans-serif" w:hAnsi="Arial;sans-serif"/>
          <w:b w:val="false"/>
          <w:color w:val="000000"/>
          <w:sz w:val="16"/>
        </w:rPr>
      </w:pPr>
      <w:r>
        <w:rPr>
          <w:rFonts w:ascii="Arial;sans-serif" w:hAnsi="Arial;sans-serif"/>
          <w:b w:val="false"/>
          <w:color w:val="000000"/>
          <w:sz w:val="16"/>
        </w:rPr>
        <w:t xml:space="preserve">Commission file number 001-38671 </w:t>
      </w:r>
    </w:p>
    <w:p>
      <w:pPr>
        <w:pStyle w:val="TextBody"/>
        <w:bidi w:val="0"/>
        <w:spacing w:before="0" w:after="60"/>
        <w:jc w:val="center"/>
        <w:rPr/>
      </w:pPr>
      <w:r>
        <w:rPr/>
        <w:drawing>
          <wp:inline distT="0" distB="0" distL="0" distR="0">
            <wp:extent cx="32099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9925" cy="4381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CAPITAL BANCORP INC.</w:t>
      </w:r>
    </w:p>
    <w:p>
      <w:pPr>
        <w:pStyle w:val="TextBody"/>
        <w:bidi w:val="0"/>
        <w:spacing w:lineRule="auto" w:line="288" w:before="0" w:after="240"/>
        <w:jc w:val="center"/>
        <w:rPr>
          <w:rFonts w:ascii="Arial;sans-serif" w:hAnsi="Arial;sans-serif"/>
          <w:b w:val="false"/>
          <w:color w:val="000000"/>
          <w:sz w:val="12"/>
        </w:rPr>
      </w:pPr>
      <w:r>
        <w:rPr>
          <w:rFonts w:ascii="Arial;sans-serif" w:hAnsi="Arial;sans-serif"/>
          <w:b w:val="false"/>
          <w:color w:val="000000"/>
          <w:sz w:val="12"/>
        </w:rPr>
        <w:t>(Exact name of registrant as specified in its charter)</w:t>
      </w:r>
    </w:p>
    <w:tbl>
      <w:tblPr>
        <w:tblW w:w="6515" w:type="dxa"/>
        <w:jc w:val="center"/>
        <w:tblInd w:w="0" w:type="dxa"/>
        <w:tblLayout w:type="fixed"/>
        <w:tblCellMar>
          <w:top w:w="28" w:type="dxa"/>
          <w:left w:w="28" w:type="dxa"/>
          <w:bottom w:w="28" w:type="dxa"/>
          <w:right w:w="28" w:type="dxa"/>
        </w:tblCellMar>
      </w:tblPr>
      <w:tblGrid>
        <w:gridCol w:w="855"/>
        <w:gridCol w:w="750"/>
        <w:gridCol w:w="750"/>
        <w:gridCol w:w="334"/>
        <w:gridCol w:w="334"/>
        <w:gridCol w:w="334"/>
        <w:gridCol w:w="334"/>
        <w:gridCol w:w="334"/>
        <w:gridCol w:w="334"/>
        <w:gridCol w:w="109"/>
        <w:gridCol w:w="109"/>
        <w:gridCol w:w="109"/>
        <w:gridCol w:w="534"/>
        <w:gridCol w:w="534"/>
        <w:gridCol w:w="761"/>
      </w:tblGrid>
      <w:tr>
        <w:trPr/>
        <w:tc>
          <w:tcPr>
            <w:tcW w:w="85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43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52-2083046</w:t>
            </w:r>
          </w:p>
        </w:tc>
      </w:tr>
      <w:tr>
        <w:trPr/>
        <w:tc>
          <w:tcPr>
            <w:tcW w:w="43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(IRS Employer Identification No.)</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2275 Research Boulevard</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Suite 600</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Rockville</w:t>
            </w:r>
          </w:p>
        </w:tc>
        <w:tc>
          <w:tcPr>
            <w:tcW w:w="10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Maryland</w:t>
            </w:r>
          </w:p>
        </w:tc>
        <w:tc>
          <w:tcPr>
            <w:tcW w:w="10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20850</w:t>
            </w:r>
          </w:p>
        </w:tc>
      </w:tr>
      <w:tr>
        <w:trPr/>
        <w:tc>
          <w:tcPr>
            <w:tcW w:w="43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Arial;sans-serif" w:hAnsi="Arial;sans-serif"/>
                <w:b w:val="false"/>
                <w:color w:val="000000"/>
                <w:sz w:val="12"/>
              </w:rPr>
            </w:pPr>
            <w:r>
              <w:rPr>
                <w:rFonts w:ascii="Arial;sans-serif" w:hAnsi="Arial;sans-serif"/>
                <w:b w:val="false"/>
                <w:color w:val="000000"/>
                <w:sz w:val="12"/>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Arial;sans-serif" w:hAnsi="Arial;sans-serif"/>
                <w:b w:val="false"/>
                <w:color w:val="000000"/>
                <w:sz w:val="12"/>
              </w:rPr>
            </w:pPr>
            <w:r>
              <w:rPr>
                <w:rFonts w:ascii="Arial;sans-serif" w:hAnsi="Arial;sans-serif"/>
                <w:b w:val="false"/>
                <w:color w:val="000000"/>
                <w:sz w:val="12"/>
              </w:rPr>
              <w:t>(Zip Code)</w:t>
            </w:r>
          </w:p>
        </w:tc>
      </w:tr>
    </w:tbl>
    <w:p>
      <w:pPr>
        <w:pStyle w:val="TextBody"/>
        <w:bidi w:val="0"/>
        <w:spacing w:lineRule="auto" w:line="288" w:before="0" w:after="0"/>
        <w:jc w:val="center"/>
        <w:rPr>
          <w:rFonts w:ascii="Arial;sans-serif" w:hAnsi="Arial;sans-serif"/>
          <w:b/>
          <w:color w:val="000000"/>
          <w:sz w:val="16"/>
          <w:u w:val="single"/>
        </w:rPr>
      </w:pPr>
      <w:r>
        <w:rPr>
          <w:rFonts w:ascii="Arial;sans-serif" w:hAnsi="Arial;sans-serif"/>
          <w:b/>
          <w:color w:val="000000"/>
          <w:sz w:val="16"/>
          <w:u w:val="single"/>
        </w:rPr>
        <w:t xml:space="preserve">(301) 468-8848 </w:t>
      </w:r>
    </w:p>
    <w:p>
      <w:pPr>
        <w:pStyle w:val="TextBody"/>
        <w:bidi w:val="0"/>
        <w:spacing w:lineRule="auto" w:line="288" w:before="0" w:after="60"/>
        <w:jc w:val="center"/>
        <w:rPr>
          <w:rFonts w:ascii="Arial;sans-serif" w:hAnsi="Arial;sans-serif"/>
          <w:b w:val="false"/>
          <w:color w:val="000000"/>
          <w:sz w:val="12"/>
        </w:rPr>
      </w:pPr>
      <w:r>
        <w:rPr>
          <w:rFonts w:ascii="Arial;sans-serif" w:hAnsi="Arial;sans-serif"/>
          <w:b w:val="false"/>
          <w:color w:val="000000"/>
          <w:sz w:val="12"/>
        </w:rPr>
        <w:t>Registrant’s telephone number, including area code</w:t>
      </w:r>
    </w:p>
    <w:p>
      <w:pPr>
        <w:pStyle w:val="TextBody"/>
        <w:bidi w:val="0"/>
        <w:spacing w:lineRule="auto" w:line="288" w:before="0" w:after="0"/>
        <w:jc w:val="center"/>
        <w:rPr>
          <w:rFonts w:ascii="Arial;sans-serif" w:hAnsi="Arial;sans-serif"/>
          <w:b/>
          <w:color w:val="000000"/>
          <w:sz w:val="16"/>
          <w:u w:val="single"/>
        </w:rPr>
      </w:pPr>
      <w:r>
        <w:rPr>
          <w:rFonts w:ascii="Arial;sans-serif" w:hAnsi="Arial;sans-serif"/>
          <w:b/>
          <w:color w:val="000000"/>
          <w:sz w:val="16"/>
          <w:u w:val="single"/>
        </w:rPr>
        <w:t>Not Applicable</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(Former Name or Former Address, if Changed Since Last Report)</w:t>
      </w:r>
    </w:p>
    <w:p>
      <w:pPr>
        <w:pStyle w:val="TextBody"/>
        <w:bidi w:val="0"/>
        <w:spacing w:before="0" w:after="0"/>
        <w:jc w:val="center"/>
        <w:rPr/>
      </w:pPr>
      <w:r>
        <w:rPr/>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067" w:type="dxa"/>
        <w:jc w:val="center"/>
        <w:tblInd w:w="0" w:type="dxa"/>
        <w:tblLayout w:type="fixed"/>
        <w:tblCellMar>
          <w:top w:w="28" w:type="dxa"/>
          <w:left w:w="28" w:type="dxa"/>
          <w:bottom w:w="28" w:type="dxa"/>
          <w:right w:w="28" w:type="dxa"/>
        </w:tblCellMar>
      </w:tblPr>
      <w:tblGrid>
        <w:gridCol w:w="1162"/>
        <w:gridCol w:w="1017"/>
        <w:gridCol w:w="1030"/>
        <w:gridCol w:w="484"/>
        <w:gridCol w:w="484"/>
        <w:gridCol w:w="486"/>
        <w:gridCol w:w="995"/>
        <w:gridCol w:w="995"/>
        <w:gridCol w:w="1414"/>
      </w:tblGrid>
      <w:tr>
        <w:trPr/>
        <w:tc>
          <w:tcPr>
            <w:tcW w:w="116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CBNK</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NASDAQ Stock Market</w:t>
            </w:r>
          </w:p>
        </w:tc>
      </w:tr>
    </w:tbl>
    <w:p>
      <w:pPr>
        <w:pStyle w:val="TextBody"/>
        <w:bidi w:val="0"/>
        <w:spacing w:before="0" w:after="0"/>
        <w:jc w:val="center"/>
        <w:rPr/>
      </w:pPr>
      <w:r>
        <w:rPr/>
      </w:r>
    </w:p>
    <w:p>
      <w:pPr>
        <w:pStyle w:val="TextBody"/>
        <w:bidi w:val="0"/>
        <w:spacing w:lineRule="auto" w:line="288" w:before="0" w:after="0"/>
        <w:jc w:val="both"/>
        <w:rPr/>
      </w:pPr>
      <w:r>
        <w:rPr>
          <w:color w:val="000000"/>
        </w:rPr>
        <w:t>    </w:t>
      </w:r>
      <w:r>
        <w:rPr>
          <w:rFonts w:ascii="Arial;sans-serif" w:hAnsi="Arial;sans-serif"/>
          <w:b w:val="false"/>
          <w:color w:val="000000"/>
          <w:sz w:val="16"/>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4820" w:type="dxa"/>
        <w:jc w:val="center"/>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both"/>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6"/>
        </w:rPr>
        <w:t xml:space="preserve">No </w:t>
      </w:r>
      <w:r>
        <w:rPr>
          <w:rFonts w:ascii="Wingdings;sans-serif" w:hAnsi="Wingdings;sans-serif"/>
          <w:b w:val="false"/>
          <w:color w:val="000000"/>
          <w:sz w:val="16"/>
        </w:rPr>
        <w:t>x</w:t>
      </w:r>
    </w:p>
    <w:p>
      <w:pPr>
        <w:pStyle w:val="TextBody"/>
        <w:bidi w:val="0"/>
        <w:spacing w:before="0" w:after="0"/>
        <w:jc w:val="both"/>
        <w:rPr/>
      </w:pPr>
      <w:r>
        <w:rPr/>
      </w:r>
    </w:p>
    <w:p>
      <w:pPr>
        <w:pStyle w:val="TextBody"/>
        <w:bidi w:val="0"/>
        <w:spacing w:lineRule="auto" w:line="288" w:before="0" w:after="240"/>
        <w:jc w:val="both"/>
        <w:rPr>
          <w:rFonts w:ascii="Arial;sans-serif" w:hAnsi="Arial;sans-serif"/>
          <w:b w:val="false"/>
          <w:color w:val="000000"/>
          <w:sz w:val="16"/>
        </w:rPr>
      </w:pPr>
      <w:r>
        <w:rPr>
          <w:rFonts w:ascii="Arial;sans-serif" w:hAnsi="Arial;sans-serif"/>
          <w:b w:val="false"/>
          <w:color w:val="000000"/>
          <w:sz w:val="16"/>
        </w:rPr>
        <w:t>As of May 6, 2026, the Company had 16,288,055 shares of common stock, par value $0.01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both"/>
                        <w:rPr/>
                      </w:pPr>
                      <w:r>
                        <w:rPr/>
                      </w:r>
                    </w:p>
                  </w:txbxContent>
                </v:textbox>
                <w10:wrap type="none"/>
              </v:rect>
            </w:pict>
          </mc:Fallback>
        </mc:AlternateContent>
      </w:r>
    </w:p>
    <w:tbl>
      <w:tblPr>
        <w:tblW w:w="5429" w:type="dxa"/>
        <w:jc w:val="left"/>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8"/>
              </w:rPr>
            </w:pPr>
            <w:r>
              <w:rPr>
                <w:rFonts w:ascii="Arial;sans-serif" w:hAnsi="Arial;sans-serif"/>
                <w:b/>
                <w:color w:val="000000"/>
                <w:sz w:val="28"/>
              </w:rPr>
              <w:t>Capital Bancorp, Inc. and Subsidiaries</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 10-Q</w:t>
            </w:r>
          </w:p>
        </w:tc>
      </w:tr>
      <w:tr>
        <w:trPr/>
        <w:tc>
          <w:tcPr>
            <w:tcW w:w="5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Table of Contents</w:t>
            </w:r>
          </w:p>
        </w:tc>
      </w:tr>
    </w:tbl>
    <w:p>
      <w:pPr>
        <w:pStyle w:val="TextBody"/>
        <w:bidi w:val="0"/>
        <w:spacing w:before="0" w:after="24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847"/>
        <w:gridCol w:w="745"/>
        <w:gridCol w:w="745"/>
        <w:gridCol w:w="2423"/>
        <w:gridCol w:w="2416"/>
        <w:gridCol w:w="2440"/>
        <w:gridCol w:w="171"/>
        <w:gridCol w:w="171"/>
        <w:gridCol w:w="247"/>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96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 - CONSOLIDATED FINANCIAL INFORMATION</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Page</w:t>
            </w:r>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Financial Statements (Unaudited)</w:t>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3a278384ee4f5ebe065f0bf716552e_19">
              <w:r>
                <w:rPr>
                  <w:rStyle w:val="InternetLink"/>
                  <w:rFonts w:ascii="Arial;sans-serif" w:hAnsi="Arial;sans-serif"/>
                  <w:b w:val="false"/>
                  <w:strike w:val="false"/>
                  <w:dstrike w:val="false"/>
                  <w:color w:val="000000"/>
                  <w:sz w:val="18"/>
                  <w:u w:val="none"/>
                  <w:effect w:val="none"/>
                </w:rPr>
                <w:t>Consolidated Balance Sheets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278384ee4f5ebe065f0bf716552e_19">
              <w:r>
                <w:rPr>
                  <w:rStyle w:val="InternetLink"/>
                  <w:rFonts w:ascii="Arial;sans-serif" w:hAnsi="Arial;sans-serif"/>
                  <w:b w:val="false"/>
                  <w:color w:val="0000FF"/>
                  <w:sz w:val="18"/>
                  <w:u w:val="single"/>
                </w:rPr>
                <w:t>2</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3a278384ee4f5ebe065f0bf716552e_25">
              <w:r>
                <w:rPr>
                  <w:rStyle w:val="InternetLink"/>
                  <w:rFonts w:ascii="Arial;sans-serif" w:hAnsi="Arial;sans-serif"/>
                  <w:b w:val="false"/>
                  <w:strike w:val="false"/>
                  <w:dstrike w:val="false"/>
                  <w:color w:val="000000"/>
                  <w:sz w:val="18"/>
                  <w:u w:val="none"/>
                  <w:effect w:val="none"/>
                </w:rPr>
                <w:t>Consolidated Statements of Income</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278384ee4f5ebe065f0bf716552e_25">
              <w:r>
                <w:rPr>
                  <w:rStyle w:val="InternetLink"/>
                  <w:rFonts w:ascii="Arial;sans-serif" w:hAnsi="Arial;sans-serif"/>
                  <w:b w:val="false"/>
                  <w:color w:val="0000FF"/>
                  <w:sz w:val="18"/>
                  <w:u w:val="single"/>
                </w:rPr>
                <w:t>3</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3a278384ee4f5ebe065f0bf716552e_31">
              <w:r>
                <w:rPr>
                  <w:rStyle w:val="InternetLink"/>
                  <w:rFonts w:ascii="Arial;sans-serif" w:hAnsi="Arial;sans-serif"/>
                  <w:b w:val="false"/>
                  <w:strike w:val="false"/>
                  <w:dstrike w:val="false"/>
                  <w:color w:val="000000"/>
                  <w:sz w:val="18"/>
                  <w:u w:val="none"/>
                  <w:effect w:val="none"/>
                </w:rPr>
                <w:t>Consolidated Statements of Comprehensive Income</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278384ee4f5ebe065f0bf716552e_31">
              <w:r>
                <w:rPr>
                  <w:rStyle w:val="InternetLink"/>
                  <w:rFonts w:ascii="Arial;sans-serif" w:hAnsi="Arial;sans-serif"/>
                  <w:b w:val="false"/>
                  <w:color w:val="0000FF"/>
                  <w:sz w:val="18"/>
                  <w:u w:val="single"/>
                </w:rPr>
                <w:t>4</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3a278384ee4f5ebe065f0bf716552e_34">
              <w:r>
                <w:rPr>
                  <w:rStyle w:val="InternetLink"/>
                  <w:rFonts w:ascii="Arial;sans-serif" w:hAnsi="Arial;sans-serif"/>
                  <w:b w:val="false"/>
                  <w:strike w:val="false"/>
                  <w:dstrike w:val="false"/>
                  <w:color w:val="000000"/>
                  <w:sz w:val="18"/>
                  <w:u w:val="none"/>
                  <w:effect w:val="none"/>
                </w:rPr>
                <w:t>Consolidated Statements of Changes in Stockholders’ Equity</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278384ee4f5ebe065f0bf716552e_34">
              <w:r>
                <w:rPr>
                  <w:rStyle w:val="InternetLink"/>
                  <w:rFonts w:ascii="Arial;sans-serif" w:hAnsi="Arial;sans-serif"/>
                  <w:b w:val="false"/>
                  <w:color w:val="0000FF"/>
                  <w:sz w:val="18"/>
                  <w:u w:val="single"/>
                </w:rPr>
                <w:t>5</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3a278384ee4f5ebe065f0bf716552e_40">
              <w:r>
                <w:rPr>
                  <w:rStyle w:val="InternetLink"/>
                  <w:rFonts w:ascii="Arial;sans-serif" w:hAnsi="Arial;sans-serif"/>
                  <w:b w:val="false"/>
                  <w:strike w:val="false"/>
                  <w:dstrike w:val="false"/>
                  <w:color w:val="000000"/>
                  <w:sz w:val="18"/>
                  <w:u w:val="none"/>
                  <w:effect w:val="none"/>
                </w:rPr>
                <w:t>Consolidated Statements of Cash Flows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278384ee4f5ebe065f0bf716552e_40">
              <w:r>
                <w:rPr>
                  <w:rStyle w:val="InternetLink"/>
                  <w:rFonts w:ascii="Arial;sans-serif" w:hAnsi="Arial;sans-serif"/>
                  <w:b w:val="false"/>
                  <w:color w:val="0000FF"/>
                  <w:sz w:val="18"/>
                  <w:u w:val="single"/>
                </w:rPr>
                <w:t>6</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3a278384ee4f5ebe065f0bf716552e_43">
              <w:r>
                <w:rPr>
                  <w:rStyle w:val="InternetLink"/>
                  <w:rFonts w:ascii="Arial;sans-serif" w:hAnsi="Arial;sans-serif"/>
                  <w:b w:val="false"/>
                  <w:strike w:val="false"/>
                  <w:dstrike w:val="false"/>
                  <w:color w:val="000000"/>
                  <w:sz w:val="18"/>
                  <w:u w:val="none"/>
                  <w:effect w:val="none"/>
                </w:rPr>
                <w:t>Notes to Unaudited Consolidated Financial Statements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278384ee4f5ebe065f0bf716552e_43">
              <w:r>
                <w:rPr>
                  <w:rStyle w:val="InternetLink"/>
                  <w:rFonts w:ascii="Arial;sans-serif" w:hAnsi="Arial;sans-serif"/>
                  <w:b w:val="false"/>
                  <w:color w:val="0000FF"/>
                  <w:sz w:val="18"/>
                  <w:u w:val="single"/>
                </w:rPr>
                <w:t>8</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Management’s Discussion and Analysis of Financial Condition and Results of Operations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278384ee4f5ebe065f0bf716552e_133">
              <w:r>
                <w:rPr>
                  <w:rStyle w:val="InternetLink"/>
                  <w:rFonts w:ascii="Arial;sans-serif" w:hAnsi="Arial;sans-serif"/>
                  <w:b w:val="false"/>
                  <w:color w:val="0000FF"/>
                  <w:sz w:val="18"/>
                  <w:u w:val="single"/>
                </w:rPr>
                <w:t>38</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Quantitative and Qualitative Disclosures About Market Risk</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278384ee4f5ebe065f0bf716552e_187">
              <w:r>
                <w:rPr>
                  <w:rStyle w:val="InternetLink"/>
                  <w:rFonts w:ascii="Arial;sans-serif" w:hAnsi="Arial;sans-serif"/>
                  <w:b w:val="false"/>
                  <w:color w:val="0000FF"/>
                  <w:sz w:val="18"/>
                  <w:u w:val="single"/>
                </w:rPr>
                <w:t>70</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Controls and Procedures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278384ee4f5ebe065f0bf716552e_196">
              <w:r>
                <w:rPr>
                  <w:rStyle w:val="InternetLink"/>
                  <w:rFonts w:ascii="Arial;sans-serif" w:hAnsi="Arial;sans-serif"/>
                  <w:b w:val="false"/>
                  <w:color w:val="0000FF"/>
                  <w:sz w:val="18"/>
                  <w:u w:val="single"/>
                </w:rPr>
                <w:t>73</w:t>
              </w:r>
            </w:hyperlink>
          </w:p>
        </w:tc>
      </w:tr>
      <w:tr>
        <w:trPr/>
        <w:tc>
          <w:tcPr>
            <w:tcW w:w="96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II - OTHER INFORMATION</w:t>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Legal Proceedings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278384ee4f5ebe065f0bf716552e_202">
              <w:r>
                <w:rPr>
                  <w:rStyle w:val="InternetLink"/>
                  <w:rFonts w:ascii="Arial;sans-serif" w:hAnsi="Arial;sans-serif"/>
                  <w:b w:val="false"/>
                  <w:color w:val="0000FF"/>
                  <w:sz w:val="18"/>
                  <w:u w:val="single"/>
                </w:rPr>
                <w:t>74</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 Factors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278384ee4f5ebe065f0bf716552e_205">
              <w:r>
                <w:rPr>
                  <w:rStyle w:val="InternetLink"/>
                  <w:rFonts w:ascii="Arial;sans-serif" w:hAnsi="Arial;sans-serif"/>
                  <w:b w:val="false"/>
                  <w:color w:val="0000FF"/>
                  <w:sz w:val="18"/>
                  <w:u w:val="single"/>
                </w:rPr>
                <w:t>74</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Unregistered Sales of Equity Securities and Use of Proceeds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278384ee4f5ebe065f0bf716552e_208">
              <w:r>
                <w:rPr>
                  <w:rStyle w:val="InternetLink"/>
                  <w:rFonts w:ascii="Arial;sans-serif" w:hAnsi="Arial;sans-serif"/>
                  <w:b w:val="false"/>
                  <w:color w:val="0000FF"/>
                  <w:sz w:val="18"/>
                  <w:u w:val="single"/>
                </w:rPr>
                <w:t>75</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Defaults Upon Senior Securities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278384ee4f5ebe065f0bf716552e_214">
              <w:r>
                <w:rPr>
                  <w:rStyle w:val="InternetLink"/>
                  <w:rFonts w:ascii="Arial;sans-serif" w:hAnsi="Arial;sans-serif"/>
                  <w:b w:val="false"/>
                  <w:color w:val="0000FF"/>
                  <w:sz w:val="18"/>
                  <w:u w:val="single"/>
                </w:rPr>
                <w:t>76</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Mine Safety Disclosures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278384ee4f5ebe065f0bf716552e_217">
              <w:r>
                <w:rPr>
                  <w:rStyle w:val="InternetLink"/>
                  <w:rFonts w:ascii="Arial;sans-serif" w:hAnsi="Arial;sans-serif"/>
                  <w:b w:val="false"/>
                  <w:color w:val="0000FF"/>
                  <w:sz w:val="18"/>
                  <w:u w:val="single"/>
                </w:rPr>
                <w:t>76</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Information</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278384ee4f5ebe065f0bf716552e_220">
              <w:r>
                <w:rPr>
                  <w:rStyle w:val="InternetLink"/>
                  <w:rFonts w:ascii="Arial;sans-serif" w:hAnsi="Arial;sans-serif"/>
                  <w:b w:val="false"/>
                  <w:color w:val="0000FF"/>
                  <w:sz w:val="18"/>
                  <w:u w:val="single"/>
                </w:rPr>
                <w:t>76</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Exhibits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278384ee4f5ebe065f0bf716552e_226">
              <w:r>
                <w:rPr>
                  <w:rStyle w:val="InternetLink"/>
                  <w:rFonts w:ascii="Arial;sans-serif" w:hAnsi="Arial;sans-serif"/>
                  <w:b w:val="false"/>
                  <w:color w:val="0000FF"/>
                  <w:sz w:val="18"/>
                  <w:u w:val="single"/>
                </w:rPr>
                <w:t>76</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both"/>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PART I. CONSOLIDATED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Item 1.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25" w:type="dxa"/>
        <w:jc w:val="center"/>
        <w:tblInd w:w="0" w:type="dxa"/>
        <w:tblLayout w:type="fixed"/>
        <w:tblCellMar>
          <w:top w:w="28" w:type="dxa"/>
          <w:left w:w="28" w:type="dxa"/>
          <w:bottom w:w="28" w:type="dxa"/>
          <w:right w:w="28" w:type="dxa"/>
        </w:tblCellMar>
      </w:tblPr>
      <w:tblGrid>
        <w:gridCol w:w="1737"/>
        <w:gridCol w:w="1526"/>
        <w:gridCol w:w="1537"/>
        <w:gridCol w:w="345"/>
        <w:gridCol w:w="1561"/>
        <w:gridCol w:w="192"/>
        <w:gridCol w:w="192"/>
        <w:gridCol w:w="192"/>
        <w:gridCol w:w="192"/>
        <w:gridCol w:w="345"/>
        <w:gridCol w:w="1535"/>
        <w:gridCol w:w="271"/>
      </w:tblGrid>
      <w:tr>
        <w:trPr/>
        <w:tc>
          <w:tcPr>
            <w:tcW w:w="1737"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9625" w:type="dxa"/>
            <w:gridSpan w:val="12"/>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Balance Sheets </w:t>
            </w:r>
            <w:r>
              <w:rPr>
                <w:rFonts w:ascii="Arial;sans-serif" w:hAnsi="Arial;sans-serif"/>
                <w:b/>
                <w:i/>
                <w:color w:val="000000"/>
                <w:sz w:val="16"/>
              </w:rPr>
              <w:t>(unaudited)</w:t>
            </w:r>
          </w:p>
          <w:p>
            <w:pPr>
              <w:pStyle w:val="TableContents"/>
              <w:bidi w:val="0"/>
              <w:spacing w:before="0" w:after="0"/>
              <w:jc w:val="left"/>
              <w:rPr/>
            </w:pPr>
            <w:r>
              <w:rPr/>
            </w:r>
          </w:p>
        </w:tc>
      </w:tr>
      <w:tr>
        <w:trPr/>
        <w:tc>
          <w:tcPr>
            <w:tcW w:w="4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 except share data)</w:t>
            </w:r>
          </w:p>
        </w:tc>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2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due from banks</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20,182</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 at other financial institutions</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379,069</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funds sold</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cash and cash equivalents</w:t>
            </w:r>
          </w:p>
        </w:tc>
        <w:tc>
          <w:tcPr>
            <w:tcW w:w="1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399,311</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255,565 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230,525</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8,691</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13,739</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 net of deferred fees and costs</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3,026,431</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allowance for credit losses</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(54,680)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held for investment, net</w:t>
            </w:r>
          </w:p>
        </w:tc>
        <w:tc>
          <w:tcPr>
            <w:tcW w:w="1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2,971,751</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2,904,797 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Premises and equipment, net</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17,732</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receivable</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16,795</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25,969</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14,511</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assets</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1,957</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15,187</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 owned life insurance</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45,871</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46,428</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assets</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3,808,467</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3,606,207 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2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2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871,677</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852,741 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2,420,370</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2,240,459 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deposits</w:t>
            </w:r>
          </w:p>
        </w:tc>
        <w:tc>
          <w:tcPr>
            <w:tcW w:w="1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3,292,047</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3,093,200 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Home Loan Bank advances</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50,000</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borrowed funds</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2,062</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payable</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8,944</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46,555</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liabilities</w:t>
            </w:r>
          </w:p>
        </w:tc>
        <w:tc>
          <w:tcPr>
            <w:tcW w:w="1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3,399,608</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3,204,450 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2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Common stock, $0.01 par value; 49,000,000 shares authorized; </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16,286,480 issued and outstanding at March 31, 2026;</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16,373,288 issued and outstanding at December 31, 2025</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112,268</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302,808</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292,749 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(6,380)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408,859</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401,757 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3,808,467</w:t>
            </w:r>
            <w:r>
              <w:rPr>
                <w:color w:val="000000"/>
              </w:rPr>
              <w:t>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3,606,207 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26135"/>
                <wp:effectExtent l="0" t="0" r="0" b="0"/>
                <wp:wrapNone/>
                <wp:docPr id="4" name="Frame3"/>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429" w:type="dxa"/>
        <w:jc w:val="center"/>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Statements of Income </w:t>
            </w:r>
            <w:r>
              <w:rPr>
                <w:rFonts w:ascii="Arial;sans-serif" w:hAnsi="Arial;sans-serif"/>
                <w:b/>
                <w:i/>
                <w:color w:val="000000"/>
                <w:sz w:val="16"/>
              </w:rPr>
              <w:t>(unaudited)</w:t>
            </w:r>
          </w:p>
          <w:p>
            <w:pPr>
              <w:pStyle w:val="TableContents"/>
              <w:bidi w:val="0"/>
              <w:spacing w:before="0" w:after="0"/>
              <w:jc w:val="left"/>
              <w:rPr/>
            </w:pPr>
            <w:r>
              <w:rPr/>
            </w:r>
          </w:p>
        </w:tc>
      </w:tr>
    </w:tbl>
    <w:tbl>
      <w:tblPr>
        <w:tblW w:w="7147" w:type="dxa"/>
        <w:jc w:val="center"/>
        <w:tblInd w:w="0" w:type="dxa"/>
        <w:tblLayout w:type="fixed"/>
        <w:tblCellMar>
          <w:top w:w="28" w:type="dxa"/>
          <w:left w:w="28" w:type="dxa"/>
          <w:bottom w:w="28" w:type="dxa"/>
          <w:right w:w="28" w:type="dxa"/>
        </w:tblCellMar>
      </w:tblPr>
      <w:tblGrid>
        <w:gridCol w:w="1513"/>
        <w:gridCol w:w="1330"/>
        <w:gridCol w:w="1341"/>
        <w:gridCol w:w="223"/>
        <w:gridCol w:w="753"/>
        <w:gridCol w:w="109"/>
        <w:gridCol w:w="109"/>
        <w:gridCol w:w="109"/>
        <w:gridCol w:w="109"/>
        <w:gridCol w:w="223"/>
        <w:gridCol w:w="738"/>
        <w:gridCol w:w="109"/>
        <w:gridCol w:w="109"/>
        <w:gridCol w:w="109"/>
        <w:gridCol w:w="109"/>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 except per share data)</w:t>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income</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including fees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64,186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funds sold and other</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income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67,970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expense</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18,070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Borrowed funds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expense</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49,398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 for credit losses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charges on deposits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fees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banking revenue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lending revenue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loan servicing revenue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rights (government guaranteed)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expenses</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Salaries and employee benefits</w:t>
            </w:r>
            <w:r>
              <w:rPr>
                <w:color w:val="000000"/>
              </w:rPr>
              <w:t xml:space="preserve">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Data processing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processing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Merger-related expenses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and other card fraud related losses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assessment expenses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expenses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43,681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share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share</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16,345,156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16,665,528 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16,440,911</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16,925,454 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26135"/>
                <wp:effectExtent l="0" t="0" r="0" b="0"/>
                <wp:wrapNone/>
                <wp:docPr id="5" name="Frame4"/>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429" w:type="dxa"/>
        <w:jc w:val="center"/>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Statements of Comprehensive Income </w:t>
            </w:r>
            <w:r>
              <w:rPr>
                <w:rFonts w:ascii="Arial;sans-serif" w:hAnsi="Arial;sans-serif"/>
                <w:b/>
                <w:i/>
                <w:color w:val="000000"/>
                <w:sz w:val="16"/>
              </w:rPr>
              <w:t>(unaudited)</w:t>
            </w:r>
          </w:p>
          <w:p>
            <w:pPr>
              <w:pStyle w:val="TableContents"/>
              <w:bidi w:val="0"/>
              <w:spacing w:before="0" w:after="0"/>
              <w:jc w:val="left"/>
              <w:rPr/>
            </w:pPr>
            <w:r>
              <w:rPr/>
            </w:r>
          </w:p>
        </w:tc>
      </w:tr>
    </w:tbl>
    <w:tbl>
      <w:tblPr>
        <w:tblW w:w="8125" w:type="dxa"/>
        <w:jc w:val="center"/>
        <w:tblInd w:w="0" w:type="dxa"/>
        <w:tblLayout w:type="fixed"/>
        <w:tblCellMar>
          <w:top w:w="28" w:type="dxa"/>
          <w:left w:w="28" w:type="dxa"/>
          <w:bottom w:w="28" w:type="dxa"/>
          <w:right w:w="28" w:type="dxa"/>
        </w:tblCellMar>
      </w:tblPr>
      <w:tblGrid>
        <w:gridCol w:w="2177"/>
        <w:gridCol w:w="1765"/>
        <w:gridCol w:w="1458"/>
        <w:gridCol w:w="196"/>
        <w:gridCol w:w="661"/>
        <w:gridCol w:w="109"/>
        <w:gridCol w:w="109"/>
        <w:gridCol w:w="109"/>
        <w:gridCol w:w="109"/>
        <w:gridCol w:w="196"/>
        <w:gridCol w:w="646"/>
        <w:gridCol w:w="109"/>
        <w:gridCol w:w="109"/>
        <w:gridCol w:w="109"/>
        <w:gridCol w:w="109"/>
        <w:gridCol w:w="154"/>
      </w:tblGrid>
      <w:tr>
        <w:trPr/>
        <w:tc>
          <w:tcPr>
            <w:tcW w:w="217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comprehensive income:</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investment securities available-for-sale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 relating to the items above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Comprehensive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26135"/>
                <wp:effectExtent l="0" t="0" r="0" b="0"/>
                <wp:wrapNone/>
                <wp:docPr id="6" name="Frame5"/>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999" w:type="dxa"/>
        <w:jc w:val="center"/>
        <w:tblInd w:w="0" w:type="dxa"/>
        <w:tblLayout w:type="fixed"/>
        <w:tblCellMar>
          <w:top w:w="28" w:type="dxa"/>
          <w:left w:w="28" w:type="dxa"/>
          <w:bottom w:w="28" w:type="dxa"/>
          <w:right w:w="28" w:type="dxa"/>
        </w:tblCellMar>
      </w:tblPr>
      <w:tblGrid>
        <w:gridCol w:w="1919"/>
        <w:gridCol w:w="1688"/>
        <w:gridCol w:w="2392"/>
      </w:tblGrid>
      <w:tr>
        <w:trPr/>
        <w:tc>
          <w:tcPr>
            <w:tcW w:w="1919"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Statements of Changes in Stockholders’ Equity </w:t>
            </w:r>
            <w:r>
              <w:rPr>
                <w:rFonts w:ascii="Arial;sans-serif" w:hAnsi="Arial;sans-serif"/>
                <w:b/>
                <w:i/>
                <w:color w:val="000000"/>
                <w:sz w:val="16"/>
              </w:rPr>
              <w:t>(unaudited)</w:t>
            </w:r>
          </w:p>
          <w:p>
            <w:pPr>
              <w:pStyle w:val="TableContents"/>
              <w:bidi w:val="0"/>
              <w:spacing w:before="0" w:after="0"/>
              <w:jc w:val="left"/>
              <w:rPr/>
            </w:pPr>
            <w:r>
              <w:rPr/>
            </w:r>
          </w:p>
        </w:tc>
      </w:tr>
    </w:tbl>
    <w:tbl>
      <w:tblPr>
        <w:tblW w:w="10205" w:type="dxa"/>
        <w:jc w:val="center"/>
        <w:tblInd w:w="0" w:type="dxa"/>
        <w:tblLayout w:type="fixed"/>
        <w:tblCellMar>
          <w:top w:w="28" w:type="dxa"/>
          <w:left w:w="28" w:type="dxa"/>
          <w:bottom w:w="28" w:type="dxa"/>
          <w:right w:w="28" w:type="dxa"/>
        </w:tblCellMar>
      </w:tblPr>
      <w:tblGrid>
        <w:gridCol w:w="1035"/>
        <w:gridCol w:w="607"/>
        <w:gridCol w:w="463"/>
        <w:gridCol w:w="488"/>
        <w:gridCol w:w="488"/>
        <w:gridCol w:w="186"/>
        <w:gridCol w:w="109"/>
        <w:gridCol w:w="109"/>
        <w:gridCol w:w="109"/>
        <w:gridCol w:w="196"/>
        <w:gridCol w:w="436"/>
        <w:gridCol w:w="109"/>
        <w:gridCol w:w="109"/>
        <w:gridCol w:w="109"/>
        <w:gridCol w:w="109"/>
        <w:gridCol w:w="196"/>
        <w:gridCol w:w="751"/>
        <w:gridCol w:w="109"/>
        <w:gridCol w:w="109"/>
        <w:gridCol w:w="109"/>
        <w:gridCol w:w="109"/>
        <w:gridCol w:w="196"/>
        <w:gridCol w:w="751"/>
        <w:gridCol w:w="109"/>
        <w:gridCol w:w="109"/>
        <w:gridCol w:w="109"/>
        <w:gridCol w:w="109"/>
        <w:gridCol w:w="273"/>
        <w:gridCol w:w="921"/>
        <w:gridCol w:w="153"/>
        <w:gridCol w:w="109"/>
        <w:gridCol w:w="109"/>
        <w:gridCol w:w="109"/>
        <w:gridCol w:w="196"/>
        <w:gridCol w:w="751"/>
        <w:gridCol w:w="156"/>
      </w:tblGrid>
      <w:tr>
        <w:trPr/>
        <w:tc>
          <w:tcPr>
            <w:tcW w:w="103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w:t>
              <w:br/>
              <w:t>Equity</w:t>
            </w:r>
          </w:p>
        </w:tc>
      </w:tr>
      <w:tr>
        <w:trPr/>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w:t>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16,662,626</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123,566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242,875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(11,469)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355,139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13,932</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on investment securities available-for-sale, net of income taxes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 exercised, net of shares withheld for purchase price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as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to stockholders ($0.10 per share)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repurchased and retired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(22,185)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16,657,168</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123,476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255,141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(9,207)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369,577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16,373,288</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114,604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292,749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(5,760)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401,757</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12,018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investment securities available-for-sale, net of income taxes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 exercised, net of shares withheld for purchase price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as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22,735 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512</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to stockholders ($0.12 per share)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repurchased and retired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(122,757)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16,286,480</w:t>
            </w: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112,268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302,808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(6,380)</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408,859</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26135"/>
                <wp:effectExtent l="0" t="0" r="0" b="0"/>
                <wp:wrapNone/>
                <wp:docPr id="7" name="Frame6"/>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100" w:after="240"/>
        <w:jc w:val="center"/>
        <w:rPr/>
      </w:pPr>
      <w:r>
        <w:rPr/>
      </w:r>
    </w:p>
    <w:tbl>
      <w:tblPr>
        <w:tblW w:w="5429" w:type="dxa"/>
        <w:jc w:val="center"/>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Statements of Cash Flows </w:t>
            </w:r>
            <w:r>
              <w:rPr>
                <w:rFonts w:ascii="Arial;sans-serif" w:hAnsi="Arial;sans-serif"/>
                <w:b/>
                <w:i/>
                <w:color w:val="000000"/>
                <w:sz w:val="16"/>
              </w:rPr>
              <w:t>(unaudited)</w:t>
            </w:r>
          </w:p>
        </w:tc>
      </w:tr>
    </w:tbl>
    <w:tbl>
      <w:tblPr>
        <w:tblW w:w="9849" w:type="dxa"/>
        <w:jc w:val="center"/>
        <w:tblInd w:w="0" w:type="dxa"/>
        <w:tblLayout w:type="fixed"/>
        <w:tblCellMar>
          <w:top w:w="28" w:type="dxa"/>
          <w:left w:w="28" w:type="dxa"/>
          <w:bottom w:w="28" w:type="dxa"/>
          <w:right w:w="28" w:type="dxa"/>
        </w:tblCellMar>
      </w:tblPr>
      <w:tblGrid>
        <w:gridCol w:w="2663"/>
        <w:gridCol w:w="2347"/>
        <w:gridCol w:w="2370"/>
        <w:gridCol w:w="211"/>
        <w:gridCol w:w="736"/>
        <w:gridCol w:w="109"/>
        <w:gridCol w:w="109"/>
        <w:gridCol w:w="109"/>
        <w:gridCol w:w="109"/>
        <w:gridCol w:w="211"/>
        <w:gridCol w:w="721"/>
        <w:gridCol w:w="154"/>
      </w:tblGrid>
      <w:tr>
        <w:trPr/>
        <w:tc>
          <w:tcPr>
            <w:tcW w:w="2663"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(used in)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 on unfunded commitments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mortgage put-back reserve,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amortization (accretion) on investment securities available-for-sale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Premises and equipment 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asset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cash surrender value of BOLI</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(increase) in loan servicing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long-term incentive plan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 and employee compensation paid in Company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expense (benefit)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(increase) in valuation of loans held for sale carried at fair value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loans held for sale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88,430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Originations of loans held for sale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(75,448)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Government lending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21,776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securities available-for-sale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calls and maturities of securities available-for-sale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purchases of restricted investments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in portfolio loans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(69,968)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purchases of premises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(72,069)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26135"/>
                <wp:effectExtent l="0" t="0" r="0" b="0"/>
                <wp:wrapNone/>
                <wp:docPr id="8" name="Frame7"/>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100" w:after="240"/>
        <w:jc w:val="center"/>
        <w:rPr/>
      </w:pPr>
      <w:r>
        <w:rPr/>
      </w:r>
    </w:p>
    <w:tbl>
      <w:tblPr>
        <w:tblW w:w="5429" w:type="dxa"/>
        <w:jc w:val="center"/>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Statements of Cash Flows </w:t>
            </w:r>
            <w:r>
              <w:rPr>
                <w:rFonts w:ascii="Arial;sans-serif" w:hAnsi="Arial;sans-serif"/>
                <w:b/>
                <w:i/>
                <w:color w:val="000000"/>
                <w:sz w:val="16"/>
              </w:rPr>
              <w:t>(unaudited)</w:t>
            </w:r>
            <w:r>
              <w:rPr>
                <w:color w:val="000000"/>
              </w:rPr>
              <w:t xml:space="preserve"> </w:t>
            </w:r>
            <w:r>
              <w:rPr>
                <w:rFonts w:ascii="Arial;sans-serif" w:hAnsi="Arial;sans-serif"/>
                <w:b/>
                <w:color w:val="000000"/>
                <w:sz w:val="16"/>
              </w:rPr>
              <w:t>(continued)</w:t>
            </w:r>
          </w:p>
        </w:tc>
      </w:tr>
    </w:tbl>
    <w:tbl>
      <w:tblPr>
        <w:tblW w:w="7404" w:type="dxa"/>
        <w:jc w:val="center"/>
        <w:tblInd w:w="0" w:type="dxa"/>
        <w:tblLayout w:type="fixed"/>
        <w:tblCellMar>
          <w:top w:w="28" w:type="dxa"/>
          <w:left w:w="28" w:type="dxa"/>
          <w:bottom w:w="28" w:type="dxa"/>
          <w:right w:w="28" w:type="dxa"/>
        </w:tblCellMar>
      </w:tblPr>
      <w:tblGrid>
        <w:gridCol w:w="1705"/>
        <w:gridCol w:w="1504"/>
        <w:gridCol w:w="1516"/>
        <w:gridCol w:w="211"/>
        <w:gridCol w:w="841"/>
        <w:gridCol w:w="109"/>
        <w:gridCol w:w="109"/>
        <w:gridCol w:w="109"/>
        <w:gridCol w:w="109"/>
        <w:gridCol w:w="211"/>
        <w:gridCol w:w="826"/>
        <w:gridCol w:w="154"/>
      </w:tblGrid>
      <w:tr>
        <w:trPr/>
        <w:tc>
          <w:tcPr>
            <w:tcW w:w="1705"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deposits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18,936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179,911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proceeds from exercise of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194,039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increase in cash and cash equivalents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143,746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beginning of year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255,565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end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399,311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Noncash investing and financing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Recognition of right-of-use lease asset and lease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unrealized gains (losses) on investments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(814)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measurement period adjustment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paid during the period for:</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18,373</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26135"/>
                <wp:effectExtent l="0" t="0" r="0" b="0"/>
                <wp:wrapNone/>
                <wp:docPr id="9" name="Frame8"/>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0" w:after="240"/>
        <w:jc w:val="center"/>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w:t>
            </w:r>
          </w:p>
        </w:tc>
      </w:tr>
    </w:tbl>
    <w:p>
      <w:pPr>
        <w:pStyle w:val="TextBody"/>
        <w:bidi w:val="0"/>
        <w:spacing w:lineRule="auto" w:line="288" w:before="0" w:after="240"/>
        <w:ind w:left="0" w:right="0" w:firstLine="360"/>
        <w:jc w:val="left"/>
        <w:rPr>
          <w:rFonts w:ascii="Arial;sans-serif" w:hAnsi="Arial;sans-serif"/>
          <w:b/>
          <w:i/>
          <w:color w:val="000000"/>
          <w:sz w:val="20"/>
          <w:u w:val="single"/>
        </w:rPr>
      </w:pPr>
      <w:r>
        <w:rPr>
          <w:rFonts w:ascii="Arial;sans-serif" w:hAnsi="Arial;sans-serif"/>
          <w:b/>
          <w:i/>
          <w:color w:val="000000"/>
          <w:sz w:val="20"/>
          <w:u w:val="single"/>
        </w:rPr>
        <w:t>Nature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Capital Bancorp, Inc. is a Maryland corporation and the bank holding company (the “Company”) for Capital Bank, N.A. (the “Bank”). The Company's primary operations are conducted by the Bank, which is headquartered in Rockville, Maryland. The Company operates three additional divisions including, OpenSky™, Windsor Advantage, LLC (“Windsor Advantage™”) and Capital Bank Home Loans (“CBHL”).</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serves businesses, not-for-profit associations, entrepreneurs and others throughout Washington D.C., Baltimore, other Maryland markets, Delaware, Florida, Illinois and North Carolina through seven commercial bank branches, one mortgage banking office, three loan production offices, three government loan servicing offices, and one credit card operations office. The Bank is principally engaged in providing commercial, real estate, and credit card loans along with other banking services, and attracting deposits.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issues credit cards through OpenSky™, a digitally-driven, nationwide credit card platform providing secured, partially secured, and unsecured credit solutions. Windsor Advantage™, a wholly-owned subsidiary of the Company, is a loan service provider that offers community banks and credit unions a comprehensive U.S. Small Business Administration (“SBA”) 7(a) and U.S. Department of Agriculture (“USDA”) lending platform. The Company originates residential mortgages for sale in the secondary market through CBHL, the Bank’s residential mortgage banking arm.</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addition, the Company owns all of the stock of Capital Bancorp (MD) Statutory Trust I (the “Trust”). The Trust is a special purpose non-consolidated entity organized for the sole purpose of issuing trust preferred securities.</w:t>
      </w:r>
    </w:p>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Basis of presentation:</w:t>
      </w:r>
    </w:p>
    <w:p>
      <w:pPr>
        <w:pStyle w:val="TextBody"/>
        <w:bidi w:val="0"/>
        <w:spacing w:lineRule="auto" w:line="288" w:before="0" w:after="240"/>
        <w:ind w:left="0" w:right="0" w:firstLine="360"/>
        <w:jc w:val="both"/>
        <w:rPr/>
      </w:pPr>
      <w:r>
        <w:rPr>
          <w:rFonts w:ascii="Arial;sans-serif" w:hAnsi="Arial;sans-serif"/>
          <w:b w:val="false"/>
          <w:color w:val="000000"/>
          <w:sz w:val="20"/>
        </w:rPr>
        <w:t>The accompanying unaudited interim consolidated financial statements have been prepared in accordance with accounting principles generally accepted in the United States of America (“GAAP”) for interim financial information and with rules and regulations of the Securities and Exchange Commission (“SEC”) and conform to general practices within the banking industry. The consolidated financial statements include the activity of the Company and its wholly-owned subsidiaries, the Bank, Windsor Advantage</w:t>
      </w:r>
      <w:r>
        <w:rPr>
          <w:color w:val="000000"/>
        </w:rPr>
        <w:t>™</w:t>
      </w:r>
      <w:r>
        <w:rPr>
          <w:rFonts w:ascii="Arial;sans-serif" w:hAnsi="Arial;sans-serif"/>
          <w:b w:val="false"/>
          <w:color w:val="000000"/>
          <w:sz w:val="20"/>
        </w:rPr>
        <w:t>, and Church Street Capital, LLC (“CSC”). The statements do not include all of the information and footnotes required by GAAP for complete financial statements. All adjustments have been made which, in the opinion of management, are necessary for a fair presentation of the results for the interim periods presented. Such adjustments are all of a normal and recurring nature. All significant inter-company accounts and transactions have been eliminated in consolidation. The results of operations for the three months ended March 31, 2026 are not necessarily indicative of the results that may be expected for the full year. These unaudited interim consolidated financial statements should be read in conjunction with the Company’s audited financial statements and the notes thereto as of December 31, 2025, included in the Company’s Annual Report on Form 10-K for the fiscal year ended December 31, 2025.</w:t>
      </w:r>
    </w:p>
    <w:p>
      <w:pPr>
        <w:pStyle w:val="TextBody"/>
        <w:bidi w:val="0"/>
        <w:spacing w:lineRule="auto" w:line="288" w:before="0" w:after="240"/>
        <w:ind w:left="0" w:right="0" w:firstLine="360"/>
        <w:jc w:val="both"/>
        <w:rPr/>
      </w:pPr>
      <w:r>
        <w:rPr>
          <w:rFonts w:ascii="Arial;sans-serif" w:hAnsi="Arial;sans-serif"/>
          <w:b w:val="false"/>
          <w:color w:val="000000"/>
          <w:sz w:val="20"/>
        </w:rPr>
        <w:t>The Company reports its activities as four divisions and reporting segments: Commercial Banking, OpenSky</w:t>
      </w:r>
      <w:r>
        <w:rPr>
          <w:color w:val="000000"/>
        </w:rPr>
        <w:t>™</w:t>
      </w:r>
      <w:r>
        <w:rPr>
          <w:rFonts w:ascii="Arial;sans-serif" w:hAnsi="Arial;sans-serif"/>
          <w:b w:val="false"/>
          <w:color w:val="000000"/>
          <w:sz w:val="20"/>
        </w:rPr>
        <w:t>, Windsor Advantage</w:t>
      </w:r>
      <w:r>
        <w:rPr>
          <w:color w:val="000000"/>
        </w:rPr>
        <w:t>™</w:t>
      </w:r>
      <w:r>
        <w:rPr>
          <w:rFonts w:ascii="Arial;sans-serif" w:hAnsi="Arial;sans-serif"/>
          <w:b w:val="false"/>
          <w:color w:val="000000"/>
          <w:sz w:val="20"/>
        </w:rPr>
        <w:t xml:space="preserve">, and Capital Bank Home Loans. In determining the appropriateness of segment definition, the Company considers components of the business about which financial information is available and regularly evaluated relative to resource allocation and performance assessment.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28650"/>
                <wp:effectExtent l="0" t="0" r="0" b="0"/>
                <wp:wrapNone/>
                <wp:docPr id="10" name="Frame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240" w:type="dxa"/>
        <w:jc w:val="center"/>
        <w:tblInd w:w="0" w:type="dxa"/>
        <w:tblLayout w:type="fixed"/>
        <w:tblCellMar>
          <w:top w:w="28" w:type="dxa"/>
          <w:left w:w="28" w:type="dxa"/>
          <w:bottom w:w="28" w:type="dxa"/>
          <w:right w:w="28" w:type="dxa"/>
        </w:tblCellMar>
      </w:tblPr>
      <w:tblGrid>
        <w:gridCol w:w="1997"/>
        <w:gridCol w:w="1755"/>
        <w:gridCol w:w="2488"/>
      </w:tblGrid>
      <w:tr>
        <w:trPr/>
        <w:tc>
          <w:tcPr>
            <w:tcW w:w="199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bidi w:val="0"/>
              <w:spacing w:before="0" w:after="240"/>
              <w:jc w:val="left"/>
              <w:rPr/>
            </w:pPr>
            <w:r>
              <w:rPr/>
            </w:r>
          </w:p>
        </w:tc>
      </w:tr>
      <w:tr>
        <w:trPr/>
        <w:tc>
          <w:tcPr>
            <w:tcW w:w="62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Significant accounting policies: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preparation of consolidated financial statements in accordance with GAAP requires estimates and judgments that affect the reported amounts of assets, liabilities, revenues and expenses and related disclosures of contingent assets and liabilities. The primary reference point for the estimates is on historical experience and assumptions believed to be reasonable regarding the value of certain assets and liabilities that are not readily available from other sources. Estimates are evaluated on an ongoing basis. Actual results may materially differ from these estimates under different assumptions or conditions. The Company’s significant accounting policies are described in the “Notes to the Consolidated Financial Statements” included in our Annual Report on Form 10-K for the year ended December 31, 2025. There have been no changes to our significant accounting policies during the three months ended March 31, 2026.</w:t>
      </w:r>
    </w:p>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Recently Issued Accounting Pronouncements: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November 2024, the FASB issued Accounting Standards Update 2024-03, "Income Statement - Reporting Comprehensive Income - Expense Disaggregation Disclosures (Subtopic 220-40)" ("ASU 2024-03"). ASU 2024-03 requires public entities to provide disaggregated disclosures, in the notes to the financial statements, of certain categories of expenses that are included in expense line items on the face of the income statement. ASU 2024-03 is effective for the Company for fiscal years beginning after December 15, 2026 and interim periods within fiscal years beginning after December 15, 2027, with early adoption permitted. The Company will update its expense disclosures upon adoption.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September 2025, the FASB issued Accounting Standards Update 2025-06 “Intangibles—Goodwill and Other—Internal-Use Software (Subtopic 350-40): Targeted Improvements to the Accounting for Internal-Use Software” (“ASU 2025-06”). ASU 2025-06 makes targeted improvements to Subtopic 350-40 to increase the operability of the recognition guidance considering different methods of software development. ASU 2025-06 is effective for the Company for fiscal years beginning after December 15, 2027, and interim reporting periods in those years, with early adoption permitted. The Company will update its software capitalization policy upon adoption.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November 2025, the FASB issued Accounting Standards Update 2025-08 “Financial Instruments - Credit Losses (Topic 326): Purchased Loans” (“ASU 2025-08”), which expands the gross-up approach applied to purchased credit deteriorated (“PCD”) loans in an acquisition to certain purchased financial assets, including certain seasoned loans that do not meet the definition of PCD. Upon adoption of this guidance, qualifying seasoned loans acquired in future transactions would be recorded by grossing up the purchase price for the initial allowance for credit losses rather than recognizing the allowance through provision expense at acquisition. As a result, future acquisitions may not generate the same level of initial provision expense and related earnings volatility associated with the historical accounting treatment. The guidance would be effective for the Company for fiscal years beginning after December 15, 2026, with early adoption permitted, and is to be applied prospectively. The Company is currently evaluating the impact of this standard and has not elected early adoption.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November 2025, the FASB issued Accounting Standards Update 2025-09, “Derivatives and Hedging (Topic 815): Hedge Accounting Improvements” (“ASU 2025-09”). ASU 2025-09 is intended to clarify guidance on hedge accounting and to address several incremental hedge accounting issues arising from the global reference rate reform initiative. The guidance would be effective for the Company for fiscal years beginning after December 15, 2026, with early adoption permitted, and is to be applied prospectively. The Company is currently evaluating the impact of this standard and has not elected early adoption.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28650"/>
                <wp:effectExtent l="0" t="0" r="0" b="0"/>
                <wp:wrapNone/>
                <wp:docPr id="11" name="Frame1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240" w:type="dxa"/>
        <w:jc w:val="center"/>
        <w:tblInd w:w="0" w:type="dxa"/>
        <w:tblLayout w:type="fixed"/>
        <w:tblCellMar>
          <w:top w:w="28" w:type="dxa"/>
          <w:left w:w="28" w:type="dxa"/>
          <w:bottom w:w="28" w:type="dxa"/>
          <w:right w:w="28" w:type="dxa"/>
        </w:tblCellMar>
      </w:tblPr>
      <w:tblGrid>
        <w:gridCol w:w="1997"/>
        <w:gridCol w:w="1755"/>
        <w:gridCol w:w="2488"/>
      </w:tblGrid>
      <w:tr>
        <w:trPr/>
        <w:tc>
          <w:tcPr>
            <w:tcW w:w="199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bidi w:val="0"/>
              <w:spacing w:before="0" w:after="240"/>
              <w:jc w:val="left"/>
              <w:rPr/>
            </w:pPr>
            <w:r>
              <w:rPr/>
            </w:r>
          </w:p>
        </w:tc>
      </w:tr>
      <w:tr>
        <w:trPr/>
        <w:tc>
          <w:tcPr>
            <w:tcW w:w="62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November 2025, the FASB issued Accounting Standards Update 2025-11, "Interim Reporting" ("ASU 2025-11"). ASU 2025-11 is intended to improve the navigability of the guidance in ASC 270, Interim Reporting, and establishes a principle under which an entity must disclose events since the end of the last annual reporting period that have a material impact on the entity. ASU 2025-11 is effective for the Company for interim periods within annual reporting periods beginning after December 15, 2027, with early adoption permitted. The Company is currently evaluating the impact the adoption of ASU 2025-11 may have on the Company’s consolidated financial statements.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Other accounting standards that have been issued or proposed by the FASB or other standards-setting bodies are not expected to have a material impact on the Company's financial position, results of operations or cash flows.</w:t>
      </w:r>
    </w:p>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Reclassifications: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Certain reclassifications have been made to amounts reported in prior periods to conform to the current period presentation. The reclassifications had no material effect on net income or total stockholders' equity.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Certain prior period amounts in the consolidated statements of changes in stockholders’ equity have been reclassified to conform to the current period presentation. These reclassifications were made within total stockholders’ equity and had no impact on previously reported net income, earnings per share, or total stockholders’ equity.</w:t>
      </w:r>
    </w:p>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Subsequent events: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For further information on a subsequent event related to the Company’s quarterly dividend, refer to Note 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2 - Investment Securities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following table summarizes the amortized cost, fair value and allowance for credit losses (“ACL”) of securities available-for-sale at March 31, 2026 and December 31, 2025, respectively, and the corresponding amounts of gross unrealized gains and losses recognized in accumulated other comprehensive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28650"/>
                <wp:effectExtent l="0" t="0" r="0" b="0"/>
                <wp:wrapNone/>
                <wp:docPr id="12" name="Frame1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2 - Investment Securities (continued)</w:t>
            </w:r>
          </w:p>
        </w:tc>
      </w:tr>
    </w:tbl>
    <w:tbl>
      <w:tblPr>
        <w:tblW w:w="10205" w:type="dxa"/>
        <w:jc w:val="center"/>
        <w:tblInd w:w="0" w:type="dxa"/>
        <w:tblLayout w:type="fixed"/>
        <w:tblCellMar>
          <w:top w:w="28" w:type="dxa"/>
          <w:left w:w="28" w:type="dxa"/>
          <w:bottom w:w="28" w:type="dxa"/>
          <w:right w:w="28" w:type="dxa"/>
        </w:tblCellMar>
      </w:tblPr>
      <w:tblGrid>
        <w:gridCol w:w="747"/>
        <w:gridCol w:w="613"/>
        <w:gridCol w:w="558"/>
        <w:gridCol w:w="109"/>
        <w:gridCol w:w="109"/>
        <w:gridCol w:w="109"/>
        <w:gridCol w:w="196"/>
        <w:gridCol w:w="751"/>
        <w:gridCol w:w="109"/>
        <w:gridCol w:w="109"/>
        <w:gridCol w:w="109"/>
        <w:gridCol w:w="109"/>
        <w:gridCol w:w="343"/>
        <w:gridCol w:w="765"/>
        <w:gridCol w:w="192"/>
        <w:gridCol w:w="109"/>
        <w:gridCol w:w="109"/>
        <w:gridCol w:w="109"/>
        <w:gridCol w:w="286"/>
        <w:gridCol w:w="853"/>
        <w:gridCol w:w="161"/>
        <w:gridCol w:w="109"/>
        <w:gridCol w:w="109"/>
        <w:gridCol w:w="109"/>
        <w:gridCol w:w="519"/>
        <w:gridCol w:w="1077"/>
        <w:gridCol w:w="292"/>
        <w:gridCol w:w="109"/>
        <w:gridCol w:w="109"/>
        <w:gridCol w:w="109"/>
        <w:gridCol w:w="196"/>
        <w:gridCol w:w="751"/>
        <w:gridCol w:w="161"/>
      </w:tblGrid>
      <w:tr>
        <w:trPr/>
        <w:tc>
          <w:tcPr>
            <w:tcW w:w="74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145,984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(5,355)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140,692</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(1,832)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13,800</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3,407</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4,841</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68,985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(1,379)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67,785</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238,910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274</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(8,659)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230,525</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137,236 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237,654 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(8,388)</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230,083 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There were no securities sold during the three months ended March 31, 2026 or the three months ended March 31, 2025. There was no ACL required on available-for-sale debt securities in an unrealized loss position at March 31, 2026 and December 31, 2025.</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amortized cost and fair value of debt securities are shown by contractual maturity. Expected maturities may differ from contractual maturities if borrowers have the right to call or prepay obligations with or without call or prepayment penalties. Securities not due at a single maturity date are shown separately. </w:t>
      </w:r>
    </w:p>
    <w:tbl>
      <w:tblPr>
        <w:tblW w:w="7827" w:type="dxa"/>
        <w:jc w:val="left"/>
        <w:tblInd w:w="0" w:type="dxa"/>
        <w:tblLayout w:type="fixed"/>
        <w:tblCellMar>
          <w:top w:w="28" w:type="dxa"/>
          <w:left w:w="28" w:type="dxa"/>
          <w:bottom w:w="28" w:type="dxa"/>
          <w:right w:w="28" w:type="dxa"/>
        </w:tblCellMar>
      </w:tblPr>
      <w:tblGrid>
        <w:gridCol w:w="823"/>
        <w:gridCol w:w="726"/>
        <w:gridCol w:w="731"/>
        <w:gridCol w:w="109"/>
        <w:gridCol w:w="109"/>
        <w:gridCol w:w="109"/>
        <w:gridCol w:w="196"/>
        <w:gridCol w:w="751"/>
        <w:gridCol w:w="109"/>
        <w:gridCol w:w="109"/>
        <w:gridCol w:w="109"/>
        <w:gridCol w:w="109"/>
        <w:gridCol w:w="196"/>
        <w:gridCol w:w="751"/>
        <w:gridCol w:w="109"/>
        <w:gridCol w:w="109"/>
        <w:gridCol w:w="109"/>
        <w:gridCol w:w="109"/>
        <w:gridCol w:w="196"/>
        <w:gridCol w:w="736"/>
        <w:gridCol w:w="109"/>
        <w:gridCol w:w="109"/>
        <w:gridCol w:w="109"/>
        <w:gridCol w:w="109"/>
        <w:gridCol w:w="196"/>
        <w:gridCol w:w="736"/>
        <w:gridCol w:w="154"/>
      </w:tblGrid>
      <w:tr>
        <w:trPr/>
        <w:tc>
          <w:tcPr>
            <w:tcW w:w="82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53,611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One to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74,544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71,718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Five to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34,336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30,604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Beyond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Asset-backed securities</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Mortgage-backed securities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68,985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67,785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238,910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230,525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0" w:after="360"/>
        <w:ind w:left="0" w:right="0" w:hanging="360"/>
        <w:jc w:val="both"/>
        <w:rPr/>
      </w:pPr>
      <w:r>
        <w:rPr>
          <w:rFonts w:ascii="Arial;sans-serif" w:hAnsi="Arial;sans-serif"/>
          <w:b w:val="false"/>
          <w:color w:val="000000"/>
          <w:sz w:val="8"/>
        </w:rPr>
        <w:t>(1)    </w:t>
      </w:r>
      <w:r>
        <w:rPr>
          <w:rFonts w:ascii="Arial;sans-serif" w:hAnsi="Arial;sans-serif"/>
          <w:b w:val="false"/>
          <w:color w:val="000000"/>
          <w:sz w:val="12"/>
        </w:rPr>
        <w:t>Asset-backed and Mortgage-backed securities are due in monthly installments.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Securities pledged had a carrying amount of $0.9 million and $1.0 million at March 31, 2026 and December 31, 2025, respectively, to secure public deposits. As of March 31, 2026, approximately $119.3 million of investment securities were pledged as collateral to the FHLB to secure FHLB advances. As of December 31, 2025, approximately $124.3 million of investment securities were pledged as collateral to the FHLB to secure FHLB advances.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At March 31, 2026 and December 31, 2025, there were no holdings of securities of any one issuer, other than the U.S. Government and its agencies, in an amount greater than 10% of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28650"/>
                <wp:effectExtent l="0" t="0" r="0" b="0"/>
                <wp:wrapNone/>
                <wp:docPr id="13" name="Frame1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2 - Investment Securities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debt securities available-for-sale in an unrealized loss position for which an ACL has not been recorded at March 31, 2026 and December 31, 2025, aggregated by major security type and length of time in a continuous unrealized loss position:</w:t>
      </w:r>
    </w:p>
    <w:tbl>
      <w:tblPr>
        <w:tblW w:w="10115" w:type="dxa"/>
        <w:jc w:val="center"/>
        <w:tblInd w:w="0" w:type="dxa"/>
        <w:tblLayout w:type="fixed"/>
        <w:tblCellMar>
          <w:top w:w="28" w:type="dxa"/>
          <w:left w:w="28" w:type="dxa"/>
          <w:bottom w:w="28" w:type="dxa"/>
          <w:right w:w="28" w:type="dxa"/>
        </w:tblCellMar>
      </w:tblPr>
      <w:tblGrid>
        <w:gridCol w:w="1004"/>
        <w:gridCol w:w="576"/>
        <w:gridCol w:w="580"/>
        <w:gridCol w:w="109"/>
        <w:gridCol w:w="109"/>
        <w:gridCol w:w="109"/>
        <w:gridCol w:w="196"/>
        <w:gridCol w:w="661"/>
        <w:gridCol w:w="109"/>
        <w:gridCol w:w="109"/>
        <w:gridCol w:w="109"/>
        <w:gridCol w:w="109"/>
        <w:gridCol w:w="250"/>
        <w:gridCol w:w="556"/>
        <w:gridCol w:w="140"/>
        <w:gridCol w:w="109"/>
        <w:gridCol w:w="109"/>
        <w:gridCol w:w="109"/>
        <w:gridCol w:w="196"/>
        <w:gridCol w:w="751"/>
        <w:gridCol w:w="109"/>
        <w:gridCol w:w="109"/>
        <w:gridCol w:w="109"/>
        <w:gridCol w:w="109"/>
        <w:gridCol w:w="211"/>
        <w:gridCol w:w="631"/>
        <w:gridCol w:w="119"/>
        <w:gridCol w:w="109"/>
        <w:gridCol w:w="109"/>
        <w:gridCol w:w="109"/>
        <w:gridCol w:w="196"/>
        <w:gridCol w:w="751"/>
        <w:gridCol w:w="109"/>
        <w:gridCol w:w="109"/>
        <w:gridCol w:w="109"/>
        <w:gridCol w:w="109"/>
        <w:gridCol w:w="210"/>
        <w:gridCol w:w="631"/>
        <w:gridCol w:w="167"/>
      </w:tblGrid>
      <w:tr>
        <w:trPr/>
        <w:tc>
          <w:tcPr>
            <w:tcW w:w="100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 months or longer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95,373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(5,346)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115,271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(5,355)</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(1,829)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(1,832)</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22,226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(1,379)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44,415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125,980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(8,551)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170,395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(8,659)</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(1,784)</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(8,327)</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(8,388)</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At March 31, 2026, there were two treasury securities, one municipal security, and seven mortgage-backed securities that had been in an unrealized loss position for less than twelve months. At December 31, 2025, there was one treasury security and three mortgage-backed securities that had been in an unrealized loss position for less than twelve months. At March 31, 2026, there were ten treasury securities, ten municipal securities, three corporate securities, and ten mortgage-backed securities that had been in an unrealized loss position for greater than twelve months. At December 31, 2025, there were ten treasury securities, ten municipal securities, three corporate securities, and eight mortgage-backed securities that had been in an unrealized loss position for greater than twelve months.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2026, management determined the Company does not have the intent to sell, nor is it more likely than not that it will be required to sell, available-for-sale debt securities in an unrealized loss position at March 31, 2026 before it is able to recover the amortized cost basis. Further, management reviewed the Company’s holdings as of March 31, 2026 and concluded there were no credit-related declines in fair value. Additional information related to the types of securities held at March 31, 2026, other than securities issued or guaranteed by U.S. Government entities or agencies including U.S. Treasuries and substantially all of the Company’s mortgage-backed securities, is as follows:</w:t>
      </w:r>
    </w:p>
    <w:p>
      <w:pPr>
        <w:pStyle w:val="TextBody"/>
        <w:bidi w:val="0"/>
        <w:spacing w:lineRule="auto" w:line="288" w:before="0" w:after="240"/>
        <w:ind w:left="0" w:right="0" w:firstLine="360"/>
        <w:jc w:val="both"/>
        <w:rPr/>
      </w:pPr>
      <w:r>
        <w:rPr>
          <w:rFonts w:ascii="Arial;sans-serif" w:hAnsi="Arial;sans-serif"/>
          <w:b w:val="false"/>
          <w:i/>
          <w:color w:val="000000"/>
          <w:sz w:val="20"/>
        </w:rPr>
        <w:t>Corporate Securities</w:t>
      </w:r>
      <w:r>
        <w:rPr>
          <w:color w:val="000000"/>
        </w:rPr>
        <w:t xml:space="preserve"> — </w:t>
      </w:r>
      <w:r>
        <w:rPr>
          <w:rFonts w:ascii="Arial;sans-serif" w:hAnsi="Arial;sans-serif"/>
          <w:b w:val="false"/>
          <w:color w:val="000000"/>
          <w:sz w:val="20"/>
        </w:rPr>
        <w:t>There have been no payment defaults on any of the Company’s holdings of corporate debt securities. There are three securities, all of which are subordinated debt of other financial institutions with face amounts ranging from $0.5 million to $2 million.</w:t>
      </w:r>
    </w:p>
    <w:p>
      <w:pPr>
        <w:pStyle w:val="TextBody"/>
        <w:bidi w:val="0"/>
        <w:spacing w:lineRule="auto" w:line="288" w:before="0" w:after="240"/>
        <w:ind w:left="0" w:right="0" w:firstLine="360"/>
        <w:jc w:val="both"/>
        <w:rPr/>
      </w:pPr>
      <w:r>
        <w:rPr>
          <w:rFonts w:ascii="Arial;sans-serif" w:hAnsi="Arial;sans-serif"/>
          <w:b w:val="false"/>
          <w:i/>
          <w:color w:val="000000"/>
          <w:sz w:val="20"/>
        </w:rPr>
        <w:t>Municipal Securities</w:t>
      </w:r>
      <w:r>
        <w:rPr>
          <w:color w:val="000000"/>
        </w:rPr>
        <w:t xml:space="preserve"> — </w:t>
      </w:r>
      <w:r>
        <w:rPr>
          <w:rFonts w:ascii="Arial;sans-serif" w:hAnsi="Arial;sans-serif"/>
          <w:b w:val="false"/>
          <w:color w:val="000000"/>
          <w:sz w:val="20"/>
        </w:rPr>
        <w:t>All of the Company’s holdings of municipal bonds were investment grade and there have been no payment defaults. Summary ratings information at March 31, 2026, based on the amortized cost basis and reflecting the lowest enhanced or underlying rating by Moody’s, Standard &amp; Poors or Fitch, is as follows: AAA - 76% of the portfolio; AA+ - 24%.</w:t>
      </w:r>
    </w:p>
    <w:p>
      <w:pPr>
        <w:pStyle w:val="TextBody"/>
        <w:bidi w:val="0"/>
        <w:spacing w:lineRule="auto" w:line="288" w:before="0" w:after="240"/>
        <w:ind w:left="0" w:right="0" w:firstLine="360"/>
        <w:jc w:val="both"/>
        <w:rPr/>
      </w:pPr>
      <w:r>
        <w:rPr>
          <w:rFonts w:ascii="Arial;sans-serif" w:hAnsi="Arial;sans-serif"/>
          <w:b w:val="false"/>
          <w:i/>
          <w:color w:val="000000"/>
          <w:sz w:val="20"/>
        </w:rPr>
        <w:t>Asset-backed Securities</w:t>
      </w:r>
      <w:r>
        <w:rPr>
          <w:color w:val="000000"/>
        </w:rPr>
        <w:t xml:space="preserve"> — </w:t>
      </w:r>
      <w:r>
        <w:rPr>
          <w:rFonts w:ascii="Arial;sans-serif" w:hAnsi="Arial;sans-serif"/>
          <w:b w:val="false"/>
          <w:color w:val="000000"/>
          <w:sz w:val="20"/>
        </w:rPr>
        <w:t>There are three investment grade asset-backed securities, and there have been no payment defaults on these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28650"/>
                <wp:effectExtent l="0" t="0" r="0" b="0"/>
                <wp:wrapNone/>
                <wp:docPr id="14" name="Frame1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2 - Investment Securities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such, it is deemed the above listed securities are not in an unrealized loss position due to credit-related issues and no further analysis is warranted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3 - Loan Servicing</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Activity for loan servicing rights is as follows for the periods presented:</w:t>
      </w:r>
    </w:p>
    <w:tbl>
      <w:tblPr>
        <w:tblW w:w="6081" w:type="dxa"/>
        <w:jc w:val="center"/>
        <w:tblInd w:w="0" w:type="dxa"/>
        <w:tblLayout w:type="fixed"/>
        <w:tblCellMar>
          <w:top w:w="28" w:type="dxa"/>
          <w:left w:w="28" w:type="dxa"/>
          <w:bottom w:w="28" w:type="dxa"/>
          <w:right w:w="28" w:type="dxa"/>
        </w:tblCellMar>
      </w:tblPr>
      <w:tblGrid>
        <w:gridCol w:w="924"/>
        <w:gridCol w:w="810"/>
        <w:gridCol w:w="815"/>
        <w:gridCol w:w="109"/>
        <w:gridCol w:w="109"/>
        <w:gridCol w:w="109"/>
        <w:gridCol w:w="282"/>
        <w:gridCol w:w="821"/>
        <w:gridCol w:w="156"/>
        <w:gridCol w:w="109"/>
        <w:gridCol w:w="109"/>
        <w:gridCol w:w="109"/>
        <w:gridCol w:w="349"/>
        <w:gridCol w:w="993"/>
        <w:gridCol w:w="277"/>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Loan servicing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5,511 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Measurement period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(2,107)</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changes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1,957</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loan servicing rights balance consisted of a principal balance of $753 million and $739 million as of March 31, 2026 and December 31, 2025, respectively. The fair value at March 31, 2026 was determined using a discount rate of 12.8%, a weighted average prepayment speed of 17.3% and a weighted average default rate of 0.7%. The fair value at December 31, 2025 was determined using a discount rate of 12.8%, a weighted average prepayment speed of 16.6% and a weighted average default rate of 0.7%.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28650"/>
                <wp:effectExtent l="0" t="0" r="0" b="0"/>
                <wp:wrapNone/>
                <wp:docPr id="15" name="Frame1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510" w:type="dxa"/>
        <w:jc w:val="left"/>
        <w:tblInd w:w="0" w:type="dxa"/>
        <w:tblLayout w:type="fixed"/>
        <w:tblCellMar>
          <w:top w:w="28" w:type="dxa"/>
          <w:left w:w="28" w:type="dxa"/>
          <w:bottom w:w="28" w:type="dxa"/>
          <w:right w:w="28" w:type="dxa"/>
        </w:tblCellMar>
      </w:tblPr>
      <w:tblGrid>
        <w:gridCol w:w="2083"/>
        <w:gridCol w:w="1831"/>
        <w:gridCol w:w="2596"/>
      </w:tblGrid>
      <w:tr>
        <w:trPr/>
        <w:tc>
          <w:tcPr>
            <w:tcW w:w="208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bidi w:val="0"/>
              <w:spacing w:before="0" w:after="0"/>
              <w:jc w:val="left"/>
              <w:rPr/>
            </w:pPr>
            <w:r>
              <w:rPr/>
            </w:r>
          </w:p>
        </w:tc>
      </w:tr>
      <w:tr>
        <w:trPr/>
        <w:tc>
          <w:tcPr>
            <w:tcW w:w="65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4 - Portfolio Loans Receivable and Allowance for Credit Losses</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is a summary of the major categories of total loans outstanding:</w:t>
      </w:r>
    </w:p>
    <w:tbl>
      <w:tblPr>
        <w:tblW w:w="7795" w:type="dxa"/>
        <w:jc w:val="center"/>
        <w:tblInd w:w="0" w:type="dxa"/>
        <w:tblLayout w:type="fixed"/>
        <w:tblCellMar>
          <w:top w:w="28" w:type="dxa"/>
          <w:left w:w="28" w:type="dxa"/>
          <w:bottom w:w="28" w:type="dxa"/>
          <w:right w:w="28" w:type="dxa"/>
        </w:tblCellMar>
      </w:tblPr>
      <w:tblGrid>
        <w:gridCol w:w="920"/>
        <w:gridCol w:w="810"/>
        <w:gridCol w:w="714"/>
        <w:gridCol w:w="109"/>
        <w:gridCol w:w="109"/>
        <w:gridCol w:w="109"/>
        <w:gridCol w:w="196"/>
        <w:gridCol w:w="886"/>
        <w:gridCol w:w="109"/>
        <w:gridCol w:w="109"/>
        <w:gridCol w:w="109"/>
        <w:gridCol w:w="109"/>
        <w:gridCol w:w="218"/>
        <w:gridCol w:w="218"/>
        <w:gridCol w:w="382"/>
        <w:gridCol w:w="109"/>
        <w:gridCol w:w="109"/>
        <w:gridCol w:w="109"/>
        <w:gridCol w:w="196"/>
        <w:gridCol w:w="871"/>
        <w:gridCol w:w="109"/>
        <w:gridCol w:w="109"/>
        <w:gridCol w:w="109"/>
        <w:gridCol w:w="109"/>
        <w:gridCol w:w="209"/>
        <w:gridCol w:w="212"/>
        <w:gridCol w:w="437"/>
      </w:tblGrid>
      <w:tr>
        <w:trPr/>
        <w:tc>
          <w:tcPr>
            <w:tcW w:w="92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795,505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999,075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365,706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730,576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Credit card, net of reserve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134,789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3,030,430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origination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2,971,751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bidi w:val="0"/>
        <w:spacing w:lineRule="auto" w:line="288" w:before="0" w:after="0"/>
        <w:ind w:left="0" w:right="0" w:hanging="360"/>
        <w:jc w:val="both"/>
        <w:rPr/>
      </w:pPr>
      <w:r>
        <w:rPr>
          <w:rFonts w:ascii="Arial;sans-serif" w:hAnsi="Arial;sans-serif"/>
          <w:b w:val="false"/>
          <w:color w:val="000000"/>
          <w:sz w:val="8"/>
        </w:rPr>
        <w:t>(1)    </w:t>
      </w:r>
      <w:r>
        <w:rPr>
          <w:rFonts w:ascii="Arial;sans-serif" w:hAnsi="Arial;sans-serif"/>
          <w:b w:val="false"/>
          <w:color w:val="000000"/>
          <w:sz w:val="12"/>
        </w:rPr>
        <w:t>Credit card loans are presented net of reserve for interest and fees.</w:t>
      </w:r>
    </w:p>
    <w:p>
      <w:pPr>
        <w:pStyle w:val="TextBody"/>
        <w:bidi w:val="0"/>
        <w:spacing w:before="0" w:after="0"/>
        <w:jc w:val="left"/>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set forth the changes in the ACL by loan segment class for the three months ended March 31, 2026 and March 31, 2025.</w:t>
      </w:r>
    </w:p>
    <w:tbl>
      <w:tblPr>
        <w:tblW w:w="10205" w:type="dxa"/>
        <w:jc w:val="center"/>
        <w:tblInd w:w="0" w:type="dxa"/>
        <w:tblLayout w:type="fixed"/>
        <w:tblCellMar>
          <w:top w:w="28" w:type="dxa"/>
          <w:left w:w="28" w:type="dxa"/>
          <w:bottom w:w="28" w:type="dxa"/>
          <w:right w:w="28" w:type="dxa"/>
        </w:tblCellMar>
      </w:tblPr>
      <w:tblGrid>
        <w:gridCol w:w="900"/>
        <w:gridCol w:w="659"/>
        <w:gridCol w:w="658"/>
        <w:gridCol w:w="109"/>
        <w:gridCol w:w="109"/>
        <w:gridCol w:w="109"/>
        <w:gridCol w:w="196"/>
        <w:gridCol w:w="646"/>
        <w:gridCol w:w="109"/>
        <w:gridCol w:w="109"/>
        <w:gridCol w:w="109"/>
        <w:gridCol w:w="109"/>
        <w:gridCol w:w="109"/>
        <w:gridCol w:w="109"/>
        <w:gridCol w:w="483"/>
        <w:gridCol w:w="1374"/>
        <w:gridCol w:w="271"/>
        <w:gridCol w:w="109"/>
        <w:gridCol w:w="109"/>
        <w:gridCol w:w="109"/>
        <w:gridCol w:w="241"/>
        <w:gridCol w:w="704"/>
        <w:gridCol w:w="136"/>
        <w:gridCol w:w="109"/>
        <w:gridCol w:w="109"/>
        <w:gridCol w:w="109"/>
        <w:gridCol w:w="263"/>
        <w:gridCol w:w="565"/>
        <w:gridCol w:w="148"/>
        <w:gridCol w:w="109"/>
        <w:gridCol w:w="109"/>
        <w:gridCol w:w="109"/>
        <w:gridCol w:w="196"/>
        <w:gridCol w:w="646"/>
        <w:gridCol w:w="157"/>
      </w:tblGrid>
      <w:tr>
        <w:trPr/>
        <w:tc>
          <w:tcPr>
            <w:tcW w:w="90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Beginning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Provision (Release of Provision) for</w:t>
              <w:br/>
              <w:t>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Ending</w:t>
              <w:br/>
              <w:t>Balance</w:t>
            </w:r>
          </w:p>
        </w:tc>
      </w:tr>
      <w:tr>
        <w:trPr/>
        <w:tc>
          <w:tcPr>
            <w:tcW w:w="2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(3,692)</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54,680 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75"/>
        <w:gridCol w:w="619"/>
        <w:gridCol w:w="616"/>
        <w:gridCol w:w="109"/>
        <w:gridCol w:w="109"/>
        <w:gridCol w:w="109"/>
        <w:gridCol w:w="196"/>
        <w:gridCol w:w="646"/>
        <w:gridCol w:w="109"/>
        <w:gridCol w:w="109"/>
        <w:gridCol w:w="109"/>
        <w:gridCol w:w="109"/>
        <w:gridCol w:w="109"/>
        <w:gridCol w:w="109"/>
        <w:gridCol w:w="109"/>
        <w:gridCol w:w="109"/>
        <w:gridCol w:w="458"/>
        <w:gridCol w:w="1302"/>
        <w:gridCol w:w="257"/>
        <w:gridCol w:w="109"/>
        <w:gridCol w:w="109"/>
        <w:gridCol w:w="109"/>
        <w:gridCol w:w="241"/>
        <w:gridCol w:w="704"/>
        <w:gridCol w:w="136"/>
        <w:gridCol w:w="109"/>
        <w:gridCol w:w="109"/>
        <w:gridCol w:w="109"/>
        <w:gridCol w:w="350"/>
        <w:gridCol w:w="430"/>
        <w:gridCol w:w="196"/>
        <w:gridCol w:w="109"/>
        <w:gridCol w:w="109"/>
        <w:gridCol w:w="109"/>
        <w:gridCol w:w="196"/>
        <w:gridCol w:w="646"/>
        <w:gridCol w:w="157"/>
      </w:tblGrid>
      <w:tr>
        <w:trPr/>
        <w:tc>
          <w:tcPr>
            <w:tcW w:w="87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Beginning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Provision (Release of Provision) for</w:t>
              <w:br/>
              <w:t>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Ending</w:t>
              <w:br/>
              <w:t>Balance</w:t>
            </w:r>
          </w:p>
        </w:tc>
      </w:tr>
      <w:tr>
        <w:trPr/>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(2,445)</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48,454 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28650"/>
                <wp:effectExtent l="0" t="0" r="0" b="0"/>
                <wp:wrapNone/>
                <wp:docPr id="16" name="Frame1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Past due loans, segregated by age and class of loans, as of March 31, 2026 and December 31, 2025 were as follows:</w:t>
      </w:r>
    </w:p>
    <w:tbl>
      <w:tblPr>
        <w:tblW w:w="11890" w:type="dxa"/>
        <w:jc w:val="left"/>
        <w:tblInd w:w="0" w:type="dxa"/>
        <w:tblLayout w:type="fixed"/>
        <w:tblCellMar>
          <w:top w:w="28" w:type="dxa"/>
          <w:left w:w="28" w:type="dxa"/>
          <w:bottom w:w="28" w:type="dxa"/>
          <w:right w:w="28" w:type="dxa"/>
        </w:tblCellMar>
      </w:tblPr>
      <w:tblGrid>
        <w:gridCol w:w="460"/>
        <w:gridCol w:w="389"/>
        <w:gridCol w:w="202"/>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196"/>
        <w:gridCol w:w="751"/>
        <w:gridCol w:w="109"/>
        <w:gridCol w:w="109"/>
        <w:gridCol w:w="109"/>
        <w:gridCol w:w="109"/>
        <w:gridCol w:w="196"/>
        <w:gridCol w:w="886"/>
        <w:gridCol w:w="109"/>
        <w:gridCol w:w="109"/>
        <w:gridCol w:w="109"/>
        <w:gridCol w:w="109"/>
        <w:gridCol w:w="196"/>
        <w:gridCol w:w="886"/>
        <w:gridCol w:w="109"/>
        <w:gridCol w:w="109"/>
        <w:gridCol w:w="109"/>
        <w:gridCol w:w="109"/>
        <w:gridCol w:w="196"/>
        <w:gridCol w:w="571"/>
        <w:gridCol w:w="109"/>
        <w:gridCol w:w="109"/>
        <w:gridCol w:w="109"/>
        <w:gridCol w:w="109"/>
        <w:gridCol w:w="196"/>
        <w:gridCol w:w="661"/>
        <w:gridCol w:w="154"/>
      </w:tblGrid>
      <w:tr>
        <w:trPr/>
        <w:tc>
          <w:tcPr>
            <w:tcW w:w="4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0"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Portfolio Loans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30-59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60-89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90 or More</w:t>
              <w:br/>
              <w:t>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Past</w:t>
              <w:br/>
              <w:t>Due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Current</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Portfolio</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Accruing</w:t>
              <w:br/>
              <w:t>Loans 90 or</w:t>
              <w:br/>
              <w:t>More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Nonaccrual</w:t>
              <w:br/>
              <w:t>Loans</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776,317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795,505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971,111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999,075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17,802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348,712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365,706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700,291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730,576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26,091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120,749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134,789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58,860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108,471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2,921,959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3,030,430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55,417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30-59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60-89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90 or More</w:t>
              <w:br/>
              <w:t>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Past</w:t>
              <w:br/>
              <w:t>Due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Current</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Portfolio</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Accruing</w:t>
              <w:br/>
              <w:t>Loans 90 or</w:t>
              <w:br/>
              <w:t>More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Nonaccrual</w:t>
              <w:br/>
              <w:t>Loans</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2,871,586 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There were $5.6 million and $6.1 million of loans secured by one-to-four family residential properties in the process of foreclosure as of March 31,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28650"/>
                <wp:effectExtent l="0" t="0" r="0" b="0"/>
                <wp:wrapNone/>
                <wp:docPr id="17" name="Frame1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presents the nonaccrual loans as of March 31, 2026 and December 31, 2025:</w:t>
      </w:r>
    </w:p>
    <w:tbl>
      <w:tblPr>
        <w:tblW w:w="10205" w:type="dxa"/>
        <w:jc w:val="left"/>
        <w:tblInd w:w="0" w:type="dxa"/>
        <w:tblLayout w:type="fixed"/>
        <w:tblCellMar>
          <w:top w:w="28" w:type="dxa"/>
          <w:left w:w="28" w:type="dxa"/>
          <w:bottom w:w="28" w:type="dxa"/>
          <w:right w:w="28" w:type="dxa"/>
        </w:tblCellMar>
      </w:tblPr>
      <w:tblGrid>
        <w:gridCol w:w="698"/>
        <w:gridCol w:w="614"/>
        <w:gridCol w:w="535"/>
        <w:gridCol w:w="109"/>
        <w:gridCol w:w="109"/>
        <w:gridCol w:w="109"/>
        <w:gridCol w:w="549"/>
        <w:gridCol w:w="1851"/>
        <w:gridCol w:w="305"/>
        <w:gridCol w:w="109"/>
        <w:gridCol w:w="109"/>
        <w:gridCol w:w="109"/>
        <w:gridCol w:w="546"/>
        <w:gridCol w:w="1843"/>
        <w:gridCol w:w="303"/>
        <w:gridCol w:w="109"/>
        <w:gridCol w:w="109"/>
        <w:gridCol w:w="109"/>
        <w:gridCol w:w="303"/>
        <w:gridCol w:w="1024"/>
        <w:gridCol w:w="168"/>
        <w:gridCol w:w="109"/>
        <w:gridCol w:w="109"/>
        <w:gridCol w:w="109"/>
        <w:gridCol w:w="158"/>
      </w:tblGrid>
      <w:tr>
        <w:trPr/>
        <w:tc>
          <w:tcPr>
            <w:tcW w:w="69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Nonaccrual with No 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Nonaccrual with an 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Nonaccrual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6,749</w:t>
            </w: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651</w:t>
            </w: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7,400</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12,839</w:t>
            </w: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4,963</w:t>
            </w: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17,802</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4,124</w:t>
            </w: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4,124</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8,121</w:t>
            </w: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17,970</w:t>
            </w: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26,091</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31,833</w:t>
            </w:r>
            <w:r>
              <w:rPr>
                <w:color w:val="000000"/>
              </w:rPr>
              <w:t>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23,584</w:t>
            </w:r>
            <w:r>
              <w:rPr>
                <w:color w:val="000000"/>
              </w:rPr>
              <w:t>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55,417</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Nonaccrual with No 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Nonaccrual with an 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Nonaccrual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19,432 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29,218 </w:t>
            </w:r>
          </w:p>
        </w:tc>
        <w:tc>
          <w:tcPr>
            <w:tcW w:w="3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25,203 </w:t>
            </w:r>
          </w:p>
        </w:tc>
        <w:tc>
          <w:tcPr>
            <w:tcW w:w="3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54,421 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has certain loans for which repayment is dependent upon the operation or sale of collateral, as the borrower is experiencing financial difficulty. The underlying collateral can vary based upon the type of loan. The following provides more detail about the types of collateral that secure collateral dependent loans: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Residential real estate loans are primarily secured by owner-occupied primary residences and, to a lesser extent, investor-owned residences.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Commercial real estate loans can be secured by either owner-occupied commercial real estate or non-owner-occupied investment commercial real estate. Typically, owner-occupied commercial real estate loans are secured by office buildings, warehouses, manufacturing facilities and other commercial and industrial properties occupied by operating companies. Non-owner-occupied commercial real estate loans are generally secured by office buildings and complexes, retail facilities, multifamily complexes, land under development and/or industrial properties, as well as other commercial or industrial real estate.</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Construction loans are typically secured by owner-occupied commercial real estate or non-owner-occupied investment real estate. Typically, owner-occupied construction loans are secured by office buildings, warehouses, manufacturing facilities, and other commercial and industrial properties that are in process of construction. Non-owner-occupied commercial construction loans are generally secured by office buildings and complexes, multi-family complexes, land under development and/or other commercial and industrial real estate in process of construction.</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Commercial and industrial loans are generally secured by equipment, inventory, accounts receivable and/or other commercial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28650"/>
                <wp:effectExtent l="0" t="0" r="0" b="0"/>
                <wp:wrapNone/>
                <wp:docPr id="18" name="Frame1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tbl>
      <w:tblPr>
        <w:tblW w:w="7252" w:type="dxa"/>
        <w:jc w:val="center"/>
        <w:tblInd w:w="0" w:type="dxa"/>
        <w:tblLayout w:type="fixed"/>
        <w:tblCellMar>
          <w:top w:w="28" w:type="dxa"/>
          <w:left w:w="28" w:type="dxa"/>
          <w:bottom w:w="28" w:type="dxa"/>
          <w:right w:w="28" w:type="dxa"/>
        </w:tblCellMar>
      </w:tblPr>
      <w:tblGrid>
        <w:gridCol w:w="1348"/>
        <w:gridCol w:w="1184"/>
        <w:gridCol w:w="1188"/>
        <w:gridCol w:w="109"/>
        <w:gridCol w:w="109"/>
        <w:gridCol w:w="109"/>
        <w:gridCol w:w="255"/>
        <w:gridCol w:w="862"/>
        <w:gridCol w:w="142"/>
        <w:gridCol w:w="109"/>
        <w:gridCol w:w="109"/>
        <w:gridCol w:w="109"/>
        <w:gridCol w:w="318"/>
        <w:gridCol w:w="1051"/>
        <w:gridCol w:w="250"/>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Collateral dependent loans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7,013</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17,592</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15,653 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3,084</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17,038</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18,605 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44,727</w:t>
            </w: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45,786 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Of the collateral dependent loans as of March 31, 2026, a specific reserve of $2 thousand, $1.2 million and $4.5 million was assessed for residential real estate, commercial real estate and commercial and industrial loans, respectively. Of the collateral dependent loans as of December 31, 2025, a specific reserve of $40 thousand, $1.3 million and $4.2 million was assessed for residential real estate, commercial real estate and commercial and industrial loans.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made nine loan modifications on loans to borrowers experiencing financial difficulty during the three months ended March 31, 2026 as follows:</w:t>
      </w:r>
    </w:p>
    <w:tbl>
      <w:tblPr>
        <w:tblW w:w="10205" w:type="dxa"/>
        <w:jc w:val="center"/>
        <w:tblInd w:w="0" w:type="dxa"/>
        <w:tblLayout w:type="fixed"/>
        <w:tblCellMar>
          <w:top w:w="28" w:type="dxa"/>
          <w:left w:w="28" w:type="dxa"/>
          <w:bottom w:w="28" w:type="dxa"/>
          <w:right w:w="28" w:type="dxa"/>
        </w:tblCellMar>
      </w:tblPr>
      <w:tblGrid>
        <w:gridCol w:w="540"/>
        <w:gridCol w:w="474"/>
        <w:gridCol w:w="476"/>
        <w:gridCol w:w="109"/>
        <w:gridCol w:w="109"/>
        <w:gridCol w:w="109"/>
        <w:gridCol w:w="269"/>
        <w:gridCol w:w="785"/>
        <w:gridCol w:w="151"/>
        <w:gridCol w:w="109"/>
        <w:gridCol w:w="109"/>
        <w:gridCol w:w="109"/>
        <w:gridCol w:w="412"/>
        <w:gridCol w:w="226"/>
        <w:gridCol w:w="491"/>
        <w:gridCol w:w="109"/>
        <w:gridCol w:w="109"/>
        <w:gridCol w:w="109"/>
        <w:gridCol w:w="1634"/>
        <w:gridCol w:w="1593"/>
        <w:gridCol w:w="2173"/>
      </w:tblGrid>
      <w:tr>
        <w:trPr/>
        <w:tc>
          <w:tcPr>
            <w:tcW w:w="54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Modifications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Financial Effect</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0"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0"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1,847</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0.185 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Restructured payment terms for 8 months on two loans, after which payments resume on a fully amortizing principal and interest basis for the remaining term.</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1,729</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0.237 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 one loan, restructured payment terms for 8 months, after which payments resume on a fully amortizing principal and interest basis for the remaining term.</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 one loan, a payment deferral of 6 months followed by modified payments for 15 months, after which payments resume on a fully amortizing principal and interest basis for the remaining term.</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 two loans, a payment deferral of 3 months and subsequent 4 months interest-only payment period, followed by a return to fully amortizing principal and interest payments under original contractual terms.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 one loan, a payment deferral of 4 months and reduced contractual floating interest rate based on Prime to 7.000% fixed rate for 6 months.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 one loan, a payment deferral of 6 months.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 one loan, a payment deferral of 7 months.</w:t>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0"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3,576</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made no loan modifications on loans to borrowers experiencing financial difficulty during the three months ended March 31, 2025.</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28650"/>
                <wp:effectExtent l="0" t="0" r="0" b="0"/>
                <wp:wrapNone/>
                <wp:docPr id="19" name="Frame1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payment status of loans that have been modified in the last twelve months:</w:t>
      </w:r>
    </w:p>
    <w:tbl>
      <w:tblPr>
        <w:tblW w:w="8651" w:type="dxa"/>
        <w:jc w:val="center"/>
        <w:tblInd w:w="0" w:type="dxa"/>
        <w:tblLayout w:type="fixed"/>
        <w:tblCellMar>
          <w:top w:w="28" w:type="dxa"/>
          <w:left w:w="28" w:type="dxa"/>
          <w:bottom w:w="28" w:type="dxa"/>
          <w:right w:w="28" w:type="dxa"/>
        </w:tblCellMar>
      </w:tblPr>
      <w:tblGrid>
        <w:gridCol w:w="742"/>
        <w:gridCol w:w="653"/>
        <w:gridCol w:w="659"/>
        <w:gridCol w:w="109"/>
        <w:gridCol w:w="109"/>
        <w:gridCol w:w="109"/>
        <w:gridCol w:w="196"/>
        <w:gridCol w:w="421"/>
        <w:gridCol w:w="109"/>
        <w:gridCol w:w="109"/>
        <w:gridCol w:w="109"/>
        <w:gridCol w:w="109"/>
        <w:gridCol w:w="258"/>
        <w:gridCol w:w="558"/>
        <w:gridCol w:w="143"/>
        <w:gridCol w:w="109"/>
        <w:gridCol w:w="109"/>
        <w:gridCol w:w="109"/>
        <w:gridCol w:w="376"/>
        <w:gridCol w:w="780"/>
        <w:gridCol w:w="209"/>
        <w:gridCol w:w="109"/>
        <w:gridCol w:w="109"/>
        <w:gridCol w:w="109"/>
        <w:gridCol w:w="229"/>
        <w:gridCol w:w="649"/>
        <w:gridCol w:w="128"/>
        <w:gridCol w:w="109"/>
        <w:gridCol w:w="109"/>
        <w:gridCol w:w="109"/>
        <w:gridCol w:w="196"/>
        <w:gridCol w:w="556"/>
        <w:gridCol w:w="154"/>
      </w:tblGrid>
      <w:tr>
        <w:trPr/>
        <w:tc>
          <w:tcPr>
            <w:tcW w:w="74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30-89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90 Days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Commercial and Industrial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i/>
          <w:color w:val="000000"/>
          <w:sz w:val="20"/>
          <w:u w:val="single"/>
        </w:rPr>
      </w:pPr>
      <w:r>
        <w:rPr>
          <w:rFonts w:ascii="Arial;sans-serif" w:hAnsi="Arial;sans-serif"/>
          <w:b/>
          <w:i/>
          <w:color w:val="000000"/>
          <w:sz w:val="20"/>
          <w:u w:val="single"/>
        </w:rPr>
        <w:t>Credit quality indicators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part of the ongoing monitoring of the credit quality of the Company’s loan portfolio, management tracks certain credit quality indicators including trends related to the risk grade of loans, the level of classified loans, net charge-offs, nonperforming loans, and general economic conditions in the Company’s market. From a credit risk standpoint, the Company utilizes a risk grading matrix to assign a risk grade to each of its loans. The classifications of loans reflect a judgment about the risk of expected credit loss associated with each loan. Credit quality indicators are reviewed and adjusted regularly to account for the degree of risk and expected credit loss that the Company believes to be appropriate for each financial asset.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description of the general risk ratings are described as follows: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Pass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Loans characterized as pass includes loans graded exceptional, very good, good, satisfactory and pass/watch. The Company believes that there is a low likelihood of credit deterioration related to those loans that are considered pass.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Special mention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Substandard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28650"/>
                <wp:effectExtent l="0" t="0" r="0" b="0"/>
                <wp:wrapNone/>
                <wp:docPr id="20" name="Frame1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Borrowers may exhibit recent or unexpected unprofitable operations, an inadequate debt service coverage ratio, or marginal liquidity and capitalization. These loans require more intense supervision by Company management.</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Doubtful</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doubtful loan has all the weaknesses associated with a substandard loan with the added characteristic that the weaknesses make collection or liquidation in full, on the basis of currently existing facts, conditions and values, highly questionable and improbable.</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Ungraded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Ungraded loans represent credit card loans not included in the individual credit grading process due to the borrower type. The credit quality indicator for credit card loans is based on the delinquency status of the borrower as of the date presented.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balances of classified loans based on the most recent credit quality indicator analysis. Classified loans include Special Mention, Substandard and Doubtful loans. Pass classified loans include loans graded exceptional, very good, good, satisfactory, and pass/watch. Credit card loans are ungraded as they are not individually graded. Charge-offs presented represent gross charge-offs recognized in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28650"/>
                <wp:effectExtent l="0" t="0" r="0" b="0"/>
                <wp:wrapNone/>
                <wp:docPr id="21" name="Frame2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tbl>
      <w:tblPr>
        <w:tblW w:w="12295" w:type="dxa"/>
        <w:jc w:val="left"/>
        <w:tblInd w:w="0" w:type="dxa"/>
        <w:tblLayout w:type="fixed"/>
        <w:tblCellMar>
          <w:top w:w="28" w:type="dxa"/>
          <w:left w:w="28" w:type="dxa"/>
          <w:bottom w:w="28" w:type="dxa"/>
          <w:right w:w="28" w:type="dxa"/>
        </w:tblCellMar>
      </w:tblPr>
      <w:tblGrid>
        <w:gridCol w:w="625"/>
        <w:gridCol w:w="353"/>
        <w:gridCol w:w="193"/>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Term Loans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Residential –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85,853 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186,295 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107,158 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100,704 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103,188 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212,307 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795,505 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Commercial –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16,428 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204,593 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124,398 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331,132 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931,838 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39,832 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49,722 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16,428 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204,593 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204,257 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59,323 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170,141 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344,333 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999,075 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Construction –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73,666 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40,366 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348,002 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24,315 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114,241 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79,612 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76,653 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42,563 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28,322 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365,706 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177,595 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94,043 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85,697 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699,455 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29,963 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76,967 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179,165 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143,442 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108,559 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87,617 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134,826 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730,576 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4,779 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Ungraded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134,789 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Portfolio loans receivable,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206,875 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684,630 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535,418 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345,239 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403,548 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719,931 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134,789 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3,030,430 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
        <w:gridCol w:w="508"/>
        <w:gridCol w:w="414"/>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21"/>
        <w:gridCol w:w="109"/>
        <w:gridCol w:w="109"/>
        <w:gridCol w:w="109"/>
        <w:gridCol w:w="109"/>
        <w:gridCol w:w="196"/>
        <w:gridCol w:w="406"/>
        <w:gridCol w:w="109"/>
        <w:gridCol w:w="109"/>
        <w:gridCol w:w="109"/>
        <w:gridCol w:w="109"/>
        <w:gridCol w:w="205"/>
        <w:gridCol w:w="581"/>
        <w:gridCol w:w="115"/>
        <w:gridCol w:w="109"/>
        <w:gridCol w:w="109"/>
        <w:gridCol w:w="109"/>
        <w:gridCol w:w="196"/>
        <w:gridCol w:w="556"/>
        <w:gridCol w:w="156"/>
      </w:tblGrid>
      <w:tr>
        <w:trPr/>
        <w:tc>
          <w:tcPr>
            <w:tcW w:w="57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Residential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3,103 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3,103 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3,692 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28650"/>
                <wp:effectExtent l="0" t="0" r="0" b="0"/>
                <wp:wrapNone/>
                <wp:docPr id="22" name="Frame2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tbl>
      <w:tblPr>
        <w:tblW w:w="12295" w:type="dxa"/>
        <w:jc w:val="left"/>
        <w:tblInd w:w="0" w:type="dxa"/>
        <w:tblLayout w:type="fixed"/>
        <w:tblCellMar>
          <w:top w:w="28" w:type="dxa"/>
          <w:left w:w="28" w:type="dxa"/>
          <w:bottom w:w="28" w:type="dxa"/>
          <w:right w:w="28" w:type="dxa"/>
        </w:tblCellMar>
      </w:tblPr>
      <w:tblGrid>
        <w:gridCol w:w="587"/>
        <w:gridCol w:w="291"/>
        <w:gridCol w:w="293"/>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Term Loans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Residential –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217,066 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110,385 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101,948 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103,437 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70,120 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162,852 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765,808 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Commercial –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197,639 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126,746 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218,736 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931,623 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39,276 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49,329 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16,129 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197,639 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206,673 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64,560 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171,882 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132,289 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224,038 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997,081 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Construction –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94,973 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350,928 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110,320 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94,973 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79,107 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43,926 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359,566 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210,890 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146,107 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95,813 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668,781 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28,967 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210,890 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146,999 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109,306 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93,800 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35,941 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101,353 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698,289 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1,930 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Ungraded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142,397 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Portfolio loans receivable,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736,675 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559,993 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354,921 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413,091 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247,848 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510,146 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142,397 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2,965,071 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
        <w:gridCol w:w="291"/>
        <w:gridCol w:w="293"/>
        <w:gridCol w:w="109"/>
        <w:gridCol w:w="109"/>
        <w:gridCol w:w="109"/>
        <w:gridCol w:w="196"/>
        <w:gridCol w:w="406"/>
        <w:gridCol w:w="109"/>
        <w:gridCol w:w="109"/>
        <w:gridCol w:w="109"/>
        <w:gridCol w:w="109"/>
        <w:gridCol w:w="196"/>
        <w:gridCol w:w="421"/>
        <w:gridCol w:w="109"/>
        <w:gridCol w:w="109"/>
        <w:gridCol w:w="109"/>
        <w:gridCol w:w="109"/>
        <w:gridCol w:w="196"/>
        <w:gridCol w:w="556"/>
        <w:gridCol w:w="109"/>
        <w:gridCol w:w="109"/>
        <w:gridCol w:w="109"/>
        <w:gridCol w:w="109"/>
        <w:gridCol w:w="196"/>
        <w:gridCol w:w="421"/>
        <w:gridCol w:w="109"/>
        <w:gridCol w:w="109"/>
        <w:gridCol w:w="109"/>
        <w:gridCol w:w="109"/>
        <w:gridCol w:w="196"/>
        <w:gridCol w:w="406"/>
        <w:gridCol w:w="109"/>
        <w:gridCol w:w="109"/>
        <w:gridCol w:w="109"/>
        <w:gridCol w:w="109"/>
        <w:gridCol w:w="196"/>
        <w:gridCol w:w="556"/>
        <w:gridCol w:w="109"/>
        <w:gridCol w:w="109"/>
        <w:gridCol w:w="109"/>
        <w:gridCol w:w="109"/>
        <w:gridCol w:w="205"/>
        <w:gridCol w:w="581"/>
        <w:gridCol w:w="115"/>
        <w:gridCol w:w="109"/>
        <w:gridCol w:w="109"/>
        <w:gridCol w:w="109"/>
        <w:gridCol w:w="196"/>
        <w:gridCol w:w="646"/>
        <w:gridCol w:w="154"/>
      </w:tblGrid>
      <w:tr>
        <w:trPr/>
        <w:tc>
          <w:tcPr>
            <w:tcW w:w="5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Residential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9,036 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2,339 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2,584 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9,036 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14,612 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28650"/>
                <wp:effectExtent l="0" t="0" r="0" b="0"/>
                <wp:wrapNone/>
                <wp:docPr id="23" name="Frame2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Outstanding loan commitments were as follows:</w:t>
      </w:r>
    </w:p>
    <w:tbl>
      <w:tblPr>
        <w:tblW w:w="5543" w:type="dxa"/>
        <w:jc w:val="left"/>
        <w:tblInd w:w="0" w:type="dxa"/>
        <w:tblLayout w:type="fixed"/>
        <w:tblCellMar>
          <w:top w:w="28" w:type="dxa"/>
          <w:left w:w="28" w:type="dxa"/>
          <w:bottom w:w="28" w:type="dxa"/>
          <w:right w:w="28" w:type="dxa"/>
        </w:tblCellMar>
      </w:tblPr>
      <w:tblGrid>
        <w:gridCol w:w="725"/>
        <w:gridCol w:w="640"/>
        <w:gridCol w:w="645"/>
        <w:gridCol w:w="109"/>
        <w:gridCol w:w="109"/>
        <w:gridCol w:w="109"/>
        <w:gridCol w:w="234"/>
        <w:gridCol w:w="896"/>
        <w:gridCol w:w="130"/>
        <w:gridCol w:w="109"/>
        <w:gridCol w:w="109"/>
        <w:gridCol w:w="109"/>
        <w:gridCol w:w="292"/>
        <w:gridCol w:w="1098"/>
        <w:gridCol w:w="229"/>
      </w:tblGrid>
      <w:tr>
        <w:trPr/>
        <w:tc>
          <w:tcPr>
            <w:tcW w:w="7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Unused lines of credit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19,269</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22,858 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 - 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40,008</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41,864 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37,709</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69,887 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110,662</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91,203 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113,591</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90,990 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Credit card</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153,487</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138,632 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474,960</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455,666 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Letters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1,633</w:t>
            </w:r>
            <w:r>
              <w:rPr>
                <w:color w:val="000000"/>
              </w:rPr>
              <w:t> </w:t>
            </w:r>
          </w:p>
        </w:tc>
        <w:tc>
          <w:tcPr>
            <w:tcW w:w="1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1,633 </w:t>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Arial;sans-serif" w:hAnsi="Arial;sans-serif"/>
          <w:b w:val="false"/>
          <w:color w:val="000000"/>
          <w:sz w:val="8"/>
        </w:rPr>
        <w:t>(1)</w:t>
      </w:r>
      <w:r>
        <w:rPr>
          <w:rFonts w:ascii="Arial;sans-serif" w:hAnsi="Arial;sans-serif"/>
          <w:b w:val="false"/>
          <w:color w:val="000000"/>
          <w:sz w:val="12"/>
        </w:rPr>
        <w:t>Outstanding loan commitments in the credit card portfolio include $59.0 million and $95.9 million in secured and partially secured balances as of March 31, 2026 and December 31, 2025, respectively.</w:t>
      </w:r>
    </w:p>
    <w:p>
      <w:pPr>
        <w:pStyle w:val="TextBody"/>
        <w:bidi w:val="0"/>
        <w:spacing w:before="0" w:after="24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at any given time, draw upon their lines in full. Loan commitments generally have variable interest rates, fixed expiration dates, and may require payment of a fee.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Company's maximum exposure to credit loss in the event of nonperformance by the customer is the contractual amount of the credit commitment. Loan commitments and lines of credit are generally made on the same terms, including with regard to collateral, as outstanding loans. Management is not aware of any accounting loss to be incurred by funding these loan commitments.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maintains an estimated reserve for unfunded commitments and certain off-balance sheet items such as unfunded lines of credit, which is reflected in other liabilities, with increases or decreases in the reserve being charged to or released from operating expense. Activity for this account is as follows for the periods presented:</w:t>
      </w:r>
    </w:p>
    <w:tbl>
      <w:tblPr>
        <w:tblW w:w="7629" w:type="dxa"/>
        <w:jc w:val="center"/>
        <w:tblInd w:w="0" w:type="dxa"/>
        <w:tblLayout w:type="fixed"/>
        <w:tblCellMar>
          <w:top w:w="28" w:type="dxa"/>
          <w:left w:w="28" w:type="dxa"/>
          <w:bottom w:w="28" w:type="dxa"/>
          <w:right w:w="28" w:type="dxa"/>
        </w:tblCellMar>
      </w:tblPr>
      <w:tblGrid>
        <w:gridCol w:w="1436"/>
        <w:gridCol w:w="1264"/>
        <w:gridCol w:w="1275"/>
        <w:gridCol w:w="109"/>
        <w:gridCol w:w="109"/>
        <w:gridCol w:w="109"/>
        <w:gridCol w:w="282"/>
        <w:gridCol w:w="821"/>
        <w:gridCol w:w="156"/>
        <w:gridCol w:w="109"/>
        <w:gridCol w:w="109"/>
        <w:gridCol w:w="109"/>
        <w:gridCol w:w="287"/>
        <w:gridCol w:w="814"/>
        <w:gridCol w:w="159"/>
        <w:gridCol w:w="109"/>
        <w:gridCol w:w="109"/>
        <w:gridCol w:w="109"/>
        <w:gridCol w:w="154"/>
      </w:tblGrid>
      <w:tr>
        <w:trPr/>
        <w:tc>
          <w:tcPr>
            <w:tcW w:w="14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1,584</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makes representations and warranties that loans sold to investors meet the investors’ program guidelines and that the information provided by the borrowers is accurate and complete. In the event of a default on a loan sold, the investor may have the right to make a claim for losses due to document deficiencies, program non-compliance, early payment default, and fraud or borrower misrepresentations.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28650"/>
                <wp:effectExtent l="0" t="0" r="0" b="0"/>
                <wp:wrapNone/>
                <wp:docPr id="24" name="Frame2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maintains a reserve for potential losses on mortgage loans sold, which is reflected in other liabilities, with changes being charged to or released from operating expense. Activity in this reserve is as follows for the periods presented:</w:t>
      </w:r>
    </w:p>
    <w:tbl>
      <w:tblPr>
        <w:tblW w:w="7074" w:type="dxa"/>
        <w:jc w:val="center"/>
        <w:tblInd w:w="0" w:type="dxa"/>
        <w:tblLayout w:type="fixed"/>
        <w:tblCellMar>
          <w:top w:w="28" w:type="dxa"/>
          <w:left w:w="28" w:type="dxa"/>
          <w:bottom w:w="28" w:type="dxa"/>
          <w:right w:w="28" w:type="dxa"/>
        </w:tblCellMar>
      </w:tblPr>
      <w:tblGrid>
        <w:gridCol w:w="1235"/>
        <w:gridCol w:w="1088"/>
        <w:gridCol w:w="1097"/>
        <w:gridCol w:w="109"/>
        <w:gridCol w:w="109"/>
        <w:gridCol w:w="109"/>
        <w:gridCol w:w="282"/>
        <w:gridCol w:w="821"/>
        <w:gridCol w:w="156"/>
        <w:gridCol w:w="109"/>
        <w:gridCol w:w="109"/>
        <w:gridCol w:w="109"/>
        <w:gridCol w:w="287"/>
        <w:gridCol w:w="814"/>
        <w:gridCol w:w="159"/>
        <w:gridCol w:w="109"/>
        <w:gridCol w:w="109"/>
        <w:gridCol w:w="109"/>
        <w:gridCol w:w="154"/>
      </w:tblGrid>
      <w:tr>
        <w:trPr/>
        <w:tc>
          <w:tcPr>
            <w:tcW w:w="123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mortgage loan put-back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2,355</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5 - Derivative Financial Instruments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may enter into mortgage origination commitments, which are commitments to originate loans as part of its mortgage banking activities. The Company then locks the loan with an investor and commits to deliver the loan if settlement occurs (Best Efforts). Certain loans under mortgage origination commitments are covered under forward sales contracts. Forward sales contracts are recorded at fair value with changes in fair value recorded in mortgage banking revenue. Mortgage origination commitments and commitments to deliver loans to investors are considered to be derivatives. These derivatives are used to economically manage interest rate risk in the Company’s mortgage banking pipeline and are not designated as hedging instruments. Changes in fair value are reported in mortgage banking revenue.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market value of mortgage origination commitments and best efforts contracts are not readily ascertainable with precision because they are not actively traded in stand-alone markets. The Company determines the fair value of mortgage origination commitments by estimating the fair value of the underlying asset, which is impacted by current interest rates and takes into consideration the probability that the rate lock commitments will close or will be funded. See Note 8 - Fair Value Measurements for information regarding valuation techniques, significant inputs, and fair value hierarchy classification for derivative instruments.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notional amount and estimated fair value of mortgage banking derivatives included in the consolidated balance sheets is summarized as follows:</w:t>
      </w:r>
    </w:p>
    <w:tbl>
      <w:tblPr>
        <w:tblW w:w="10205" w:type="dxa"/>
        <w:jc w:val="center"/>
        <w:tblInd w:w="0" w:type="dxa"/>
        <w:tblLayout w:type="fixed"/>
        <w:tblCellMar>
          <w:top w:w="28" w:type="dxa"/>
          <w:left w:w="28" w:type="dxa"/>
          <w:bottom w:w="28" w:type="dxa"/>
          <w:right w:w="28" w:type="dxa"/>
        </w:tblCellMar>
      </w:tblPr>
      <w:tblGrid>
        <w:gridCol w:w="1262"/>
        <w:gridCol w:w="963"/>
        <w:gridCol w:w="964"/>
        <w:gridCol w:w="247"/>
        <w:gridCol w:w="988"/>
        <w:gridCol w:w="127"/>
        <w:gridCol w:w="109"/>
        <w:gridCol w:w="109"/>
        <w:gridCol w:w="109"/>
        <w:gridCol w:w="325"/>
        <w:gridCol w:w="974"/>
        <w:gridCol w:w="170"/>
        <w:gridCol w:w="109"/>
        <w:gridCol w:w="109"/>
        <w:gridCol w:w="109"/>
        <w:gridCol w:w="249"/>
        <w:gridCol w:w="978"/>
        <w:gridCol w:w="128"/>
        <w:gridCol w:w="109"/>
        <w:gridCol w:w="109"/>
        <w:gridCol w:w="109"/>
        <w:gridCol w:w="331"/>
        <w:gridCol w:w="967"/>
        <w:gridCol w:w="171"/>
        <w:gridCol w:w="109"/>
        <w:gridCol w:w="109"/>
        <w:gridCol w:w="162"/>
      </w:tblGrid>
      <w:tr>
        <w:trPr/>
        <w:tc>
          <w:tcPr>
            <w:tcW w:w="126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3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Included in other assets:</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origination commitments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195,492</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6,235</w:t>
            </w: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forward delivery sales agreements (hedge MTM)</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11,000</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w:t>
            </w: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mandatory delivery commitments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forward delivery sales agreements (pipeline hedge)</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included in assets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206,492</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6,265</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188,859 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Included in other liabilities:</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forward delivery sales agreements (pipeline hedge)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9,216</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w:t>
            </w: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mandatory delivery commitments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8,447</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w:t>
            </w: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forward delivery sales agreements (hedge MTM)</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included in other liabilities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17,663</w:t>
            </w: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w:t>
            </w: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28650"/>
                <wp:effectExtent l="0" t="0" r="0" b="0"/>
                <wp:wrapNone/>
                <wp:docPr id="25" name="Frame2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429" w:type="dxa"/>
        <w:jc w:val="center"/>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Consolidated Financial Statements</w:t>
            </w:r>
          </w:p>
        </w:tc>
      </w:tr>
      <w:tr>
        <w:trPr/>
        <w:tc>
          <w:tcPr>
            <w:tcW w:w="54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5 - Derivative Financial Instruments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net gains (losses) relating to mortgage banking derivative instruments included in mortgage banking revenue is summarized as follows:</w:t>
      </w:r>
    </w:p>
    <w:tbl>
      <w:tblPr>
        <w:tblW w:w="8224" w:type="dxa"/>
        <w:jc w:val="center"/>
        <w:tblInd w:w="0" w:type="dxa"/>
        <w:tblLayout w:type="fixed"/>
        <w:tblCellMar>
          <w:top w:w="28" w:type="dxa"/>
          <w:left w:w="28" w:type="dxa"/>
          <w:bottom w:w="28" w:type="dxa"/>
          <w:right w:w="28" w:type="dxa"/>
        </w:tblCellMar>
      </w:tblPr>
      <w:tblGrid>
        <w:gridCol w:w="1736"/>
        <w:gridCol w:w="1531"/>
        <w:gridCol w:w="1548"/>
        <w:gridCol w:w="371"/>
        <w:gridCol w:w="847"/>
        <w:gridCol w:w="192"/>
        <w:gridCol w:w="109"/>
        <w:gridCol w:w="109"/>
        <w:gridCol w:w="109"/>
        <w:gridCol w:w="378"/>
        <w:gridCol w:w="836"/>
        <w:gridCol w:w="195"/>
        <w:gridCol w:w="109"/>
        <w:gridCol w:w="154"/>
      </w:tblGrid>
      <w:tr>
        <w:trPr/>
        <w:tc>
          <w:tcPr>
            <w:tcW w:w="173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origination commitments</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343</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forward delivery sales agreements (hedge MTM)</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forward delivery sales agreements (pipeline hedge)</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mandatory delivery commitments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207</w:t>
            </w:r>
            <w:r>
              <w:rPr>
                <w:color w:val="000000"/>
              </w:rPr>
              <w:t>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6 - Leases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Company’s primary leasing activities relate to certain real estate leases entered into in support of the Company’s branch operations and back office operations. The Company leases five of its full service branches and seven other locations for corporate/administration activities, operations, and loan production. All property leases under lease agreements have been designated as operating leases. The Company does not have leases designated as finance leases.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determines if an arrangement is a lease at inception. Operating lease Right of 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historical weighted average discount rate was 4.70% at March 31, 2026 and 5.08% at December 31, 2025.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2026, the Company’s net lease ROU assets and related lease liabilities were $6.8 million and $7.6 million, respectively, compared to December 31, 2025 balances of $4.0 million of ROU assets and $4.6 million of lease liabilities, and have remaining terms ranging from one to seven years, including extension options that the Company is reasonably certain will be exercised. As of March 31, 2026, the Company had not entered into any material leases that have not yet commenced. The Company’s lease information is summarized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8650"/>
                <wp:effectExtent l="0" t="0" r="0" b="0"/>
                <wp:wrapNone/>
                <wp:docPr id="26" name="Frame2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left"/>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6 - Leases (continued)</w:t>
            </w:r>
          </w:p>
        </w:tc>
      </w:tr>
    </w:tbl>
    <w:tbl>
      <w:tblPr>
        <w:tblW w:w="5977" w:type="dxa"/>
        <w:jc w:val="center"/>
        <w:tblInd w:w="0" w:type="dxa"/>
        <w:tblLayout w:type="fixed"/>
        <w:tblCellMar>
          <w:top w:w="28" w:type="dxa"/>
          <w:left w:w="28" w:type="dxa"/>
          <w:bottom w:w="28" w:type="dxa"/>
          <w:right w:w="28" w:type="dxa"/>
        </w:tblCellMar>
      </w:tblPr>
      <w:tblGrid>
        <w:gridCol w:w="883"/>
        <w:gridCol w:w="778"/>
        <w:gridCol w:w="784"/>
        <w:gridCol w:w="109"/>
        <w:gridCol w:w="109"/>
        <w:gridCol w:w="109"/>
        <w:gridCol w:w="255"/>
        <w:gridCol w:w="862"/>
        <w:gridCol w:w="142"/>
        <w:gridCol w:w="109"/>
        <w:gridCol w:w="109"/>
        <w:gridCol w:w="109"/>
        <w:gridCol w:w="349"/>
        <w:gridCol w:w="993"/>
        <w:gridCol w:w="277"/>
      </w:tblGrid>
      <w:tr>
        <w:trPr/>
        <w:tc>
          <w:tcPr>
            <w:tcW w:w="88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Lease Right of 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10,152</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(3,392)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lease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6,760</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4,019 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10,586</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(3,014)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(2,754)</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7,572</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4,572 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Future minimum payments for operating leases with initial or remaining terms of one year or more are as follows:</w:t>
      </w:r>
    </w:p>
    <w:tbl>
      <w:tblPr>
        <w:tblW w:w="4871" w:type="dxa"/>
        <w:jc w:val="center"/>
        <w:tblInd w:w="0" w:type="dxa"/>
        <w:tblLayout w:type="fixed"/>
        <w:tblCellMar>
          <w:top w:w="28" w:type="dxa"/>
          <w:left w:w="28" w:type="dxa"/>
          <w:bottom w:w="28" w:type="dxa"/>
          <w:right w:w="28" w:type="dxa"/>
        </w:tblCellMar>
      </w:tblPr>
      <w:tblGrid>
        <w:gridCol w:w="1171"/>
        <w:gridCol w:w="1029"/>
        <w:gridCol w:w="1040"/>
        <w:gridCol w:w="109"/>
        <w:gridCol w:w="109"/>
        <w:gridCol w:w="109"/>
        <w:gridCol w:w="277"/>
        <w:gridCol w:w="809"/>
        <w:gridCol w:w="218"/>
      </w:tblGrid>
      <w:tr>
        <w:trPr/>
        <w:tc>
          <w:tcPr>
            <w:tcW w:w="117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Amounts due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2031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future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8,712</w:t>
            </w: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net future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7,572</w:t>
            </w:r>
            <w:r>
              <w:rPr>
                <w:color w:val="000000"/>
              </w:rPr>
              <w:t>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7 - Goodwill and Intangible Assets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change in goodwill during the periods ended March 31, 2026 and December 31, 2025 is as follows:</w:t>
      </w:r>
    </w:p>
    <w:tbl>
      <w:tblPr>
        <w:tblW w:w="5991" w:type="dxa"/>
        <w:jc w:val="center"/>
        <w:tblInd w:w="0" w:type="dxa"/>
        <w:tblLayout w:type="fixed"/>
        <w:tblCellMar>
          <w:top w:w="28" w:type="dxa"/>
          <w:left w:w="28" w:type="dxa"/>
          <w:bottom w:w="28" w:type="dxa"/>
          <w:right w:w="28" w:type="dxa"/>
        </w:tblCellMar>
      </w:tblPr>
      <w:tblGrid>
        <w:gridCol w:w="888"/>
        <w:gridCol w:w="782"/>
        <w:gridCol w:w="789"/>
        <w:gridCol w:w="109"/>
        <w:gridCol w:w="109"/>
        <w:gridCol w:w="109"/>
        <w:gridCol w:w="255"/>
        <w:gridCol w:w="862"/>
        <w:gridCol w:w="142"/>
        <w:gridCol w:w="109"/>
        <w:gridCol w:w="109"/>
        <w:gridCol w:w="109"/>
        <w:gridCol w:w="318"/>
        <w:gridCol w:w="1051"/>
        <w:gridCol w:w="250"/>
      </w:tblGrid>
      <w:tr>
        <w:trPr/>
        <w:tc>
          <w:tcPr>
            <w:tcW w:w="8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25,969</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21,126 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Measurement period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25,969</w:t>
            </w: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25,969 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At March 31, 2026, the Company’s reporting units include attributable goodwill from the IFH acquisition. The Company has elected to perform a qualitative assessment annually as of October 1 to determine if it is more likely than not that the fair value of the reporting unit exceeded its carrying value, including goodwill.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Acquired amortizing intangible assets were as follows for the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28650"/>
                <wp:effectExtent l="0" t="0" r="0" b="0"/>
                <wp:wrapNone/>
                <wp:docPr id="27" name="Frame2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7 - Goodwill and Intangible Assets (continued)</w:t>
            </w:r>
          </w:p>
        </w:tc>
      </w:tr>
    </w:tbl>
    <w:tbl>
      <w:tblPr>
        <w:tblW w:w="10205" w:type="dxa"/>
        <w:jc w:val="center"/>
        <w:tblInd w:w="0" w:type="dxa"/>
        <w:tblLayout w:type="fixed"/>
        <w:tblCellMar>
          <w:top w:w="28" w:type="dxa"/>
          <w:left w:w="28" w:type="dxa"/>
          <w:bottom w:w="28" w:type="dxa"/>
          <w:right w:w="28" w:type="dxa"/>
        </w:tblCellMar>
      </w:tblPr>
      <w:tblGrid>
        <w:gridCol w:w="419"/>
        <w:gridCol w:w="368"/>
        <w:gridCol w:w="370"/>
        <w:gridCol w:w="109"/>
        <w:gridCol w:w="109"/>
        <w:gridCol w:w="109"/>
        <w:gridCol w:w="234"/>
        <w:gridCol w:w="790"/>
        <w:gridCol w:w="130"/>
        <w:gridCol w:w="109"/>
        <w:gridCol w:w="109"/>
        <w:gridCol w:w="109"/>
        <w:gridCol w:w="302"/>
        <w:gridCol w:w="881"/>
        <w:gridCol w:w="169"/>
        <w:gridCol w:w="109"/>
        <w:gridCol w:w="109"/>
        <w:gridCol w:w="109"/>
        <w:gridCol w:w="226"/>
        <w:gridCol w:w="763"/>
        <w:gridCol w:w="125"/>
        <w:gridCol w:w="109"/>
        <w:gridCol w:w="109"/>
        <w:gridCol w:w="109"/>
        <w:gridCol w:w="229"/>
        <w:gridCol w:w="757"/>
        <w:gridCol w:w="127"/>
        <w:gridCol w:w="109"/>
        <w:gridCol w:w="109"/>
        <w:gridCol w:w="109"/>
        <w:gridCol w:w="273"/>
        <w:gridCol w:w="797"/>
        <w:gridCol w:w="152"/>
        <w:gridCol w:w="109"/>
        <w:gridCol w:w="109"/>
        <w:gridCol w:w="109"/>
        <w:gridCol w:w="220"/>
        <w:gridCol w:w="727"/>
        <w:gridCol w:w="18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Carrying Amount</w:t>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list intangible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12,200</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(1,055)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11,145</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 name intangible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1,890</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Core deposits intangible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1,779</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1,476</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amortized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16,079</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(1,568)</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14,511</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16,079 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14,771 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Goodwill represents the intangible value of IFH’s business and reputation within the markets it previously served and is not expected to be deductible for income tax purposes. The customer list intangible and trade name intangible will be amortized over its expected useful life of 17 years and 15 years, respectively, using the straight-line method. The core deposit intangible will be amortized over its expected useful life of 10 years using the sum-of-the-years-digits method.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Amortization expense was $260 thousand for the three months ended March 31, 2026. There was $261 thousand amortization expense during the three months ended March 31, 2025.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At March 31, 2026, scheduled amortization of the intangible assets for each of the next five years is as follows:</w:t>
      </w:r>
    </w:p>
    <w:tbl>
      <w:tblPr>
        <w:tblW w:w="2224" w:type="dxa"/>
        <w:jc w:val="center"/>
        <w:tblInd w:w="0" w:type="dxa"/>
        <w:tblLayout w:type="fixed"/>
        <w:tblCellMar>
          <w:top w:w="28" w:type="dxa"/>
          <w:left w:w="28" w:type="dxa"/>
          <w:bottom w:w="28" w:type="dxa"/>
          <w:right w:w="28" w:type="dxa"/>
        </w:tblCellMar>
      </w:tblPr>
      <w:tblGrid>
        <w:gridCol w:w="320"/>
        <w:gridCol w:w="282"/>
        <w:gridCol w:w="284"/>
        <w:gridCol w:w="109"/>
        <w:gridCol w:w="109"/>
        <w:gridCol w:w="109"/>
        <w:gridCol w:w="196"/>
        <w:gridCol w:w="661"/>
        <w:gridCol w:w="154"/>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2"/>
              </w:rPr>
            </w:pPr>
            <w:r>
              <w:rPr>
                <w:rFonts w:ascii="Arial;sans-serif" w:hAnsi="Arial;sans-serif"/>
                <w:b w:val="false"/>
                <w:i/>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9,612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14,511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28650"/>
                <wp:effectExtent l="0" t="0" r="0" b="0"/>
                <wp:wrapNone/>
                <wp:docPr id="28" name="Frame2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429" w:type="dxa"/>
        <w:jc w:val="left"/>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Consolidated Financial Statements</w:t>
            </w:r>
          </w:p>
        </w:tc>
      </w:tr>
      <w:tr>
        <w:trPr/>
        <w:tc>
          <w:tcPr>
            <w:tcW w:w="54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8 - Fair Value</w:t>
            </w:r>
          </w:p>
        </w:tc>
      </w:tr>
    </w:tbl>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pStyle w:val="TextBody"/>
        <w:bidi w:val="0"/>
        <w:spacing w:lineRule="auto" w:line="288" w:before="0" w:after="240"/>
        <w:ind w:left="0" w:right="0" w:firstLine="360"/>
        <w:jc w:val="both"/>
        <w:rPr/>
      </w:pPr>
      <w:r>
        <w:rPr>
          <w:rFonts w:ascii="Arial;sans-serif" w:hAnsi="Arial;sans-serif"/>
          <w:b/>
          <w:color w:val="000000"/>
          <w:sz w:val="20"/>
        </w:rPr>
        <w:t>Level 1</w:t>
      </w:r>
      <w:r>
        <w:rPr>
          <w:color w:val="000000"/>
        </w:rPr>
        <w:t xml:space="preserve"> </w:t>
      </w:r>
      <w:r>
        <w:rPr>
          <w:rFonts w:ascii="Arial;sans-serif" w:hAnsi="Arial;sans-serif"/>
          <w:b w:val="false"/>
          <w:color w:val="000000"/>
          <w:sz w:val="20"/>
        </w:rPr>
        <w:t>- Quoted prices (unadjusted) for identical assets or liabilities in active markets that the entity has the ability to access as of the measurement date. This includes certain U.S. Treasury and other U.S. Government and government agency securities actively traded in over-the-counter markets.</w:t>
      </w:r>
    </w:p>
    <w:p>
      <w:pPr>
        <w:pStyle w:val="TextBody"/>
        <w:bidi w:val="0"/>
        <w:spacing w:lineRule="auto" w:line="288" w:before="0" w:after="240"/>
        <w:ind w:left="0" w:right="0" w:firstLine="360"/>
        <w:jc w:val="both"/>
        <w:rPr/>
      </w:pPr>
      <w:r>
        <w:rPr>
          <w:rFonts w:ascii="Arial;sans-serif" w:hAnsi="Arial;sans-serif"/>
          <w:b/>
          <w:color w:val="000000"/>
          <w:sz w:val="20"/>
        </w:rPr>
        <w:t>Level 2</w:t>
      </w:r>
      <w:r>
        <w:rPr>
          <w:color w:val="000000"/>
        </w:rPr>
        <w:t xml:space="preserve"> </w:t>
      </w:r>
      <w:r>
        <w:rPr>
          <w:rFonts w:ascii="Arial;sans-serif" w:hAnsi="Arial;sans-serif"/>
          <w:b w:val="false"/>
          <w:color w:val="000000"/>
          <w:sz w:val="20"/>
        </w:rPr>
        <w:t>- Significant other observable inputs other than Level 1 prices such as quoted prices for similar assets or liabilities; quoted prices in markets that are not active; or other inputs that are observable or can be corroborated by observable market data.</w:t>
      </w:r>
    </w:p>
    <w:p>
      <w:pPr>
        <w:pStyle w:val="TextBody"/>
        <w:bidi w:val="0"/>
        <w:spacing w:lineRule="auto" w:line="288" w:before="0" w:after="240"/>
        <w:ind w:left="0" w:right="0" w:firstLine="360"/>
        <w:jc w:val="both"/>
        <w:rPr/>
      </w:pPr>
      <w:r>
        <w:rPr>
          <w:rFonts w:ascii="Arial;sans-serif" w:hAnsi="Arial;sans-serif"/>
          <w:b/>
          <w:color w:val="000000"/>
          <w:sz w:val="20"/>
        </w:rPr>
        <w:t>Level 3</w:t>
      </w:r>
      <w:r>
        <w:rPr>
          <w:color w:val="000000"/>
        </w:rPr>
        <w:t xml:space="preserve"> </w:t>
      </w:r>
      <w:r>
        <w:rPr>
          <w:rFonts w:ascii="Arial;sans-serif" w:hAnsi="Arial;sans-serif"/>
          <w:b w:val="false"/>
          <w:color w:val="000000"/>
          <w:sz w:val="20"/>
        </w:rPr>
        <w:t>- Significant unobservable inputs that reflect a company’s own assumptions about the assumptions that market participants would use in pricing an asset or liability.</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The Company used the following methods and significant assumptions to estimate fair value on a recurring basis:</w:t>
      </w:r>
    </w:p>
    <w:p>
      <w:pPr>
        <w:pStyle w:val="TextBody"/>
        <w:bidi w:val="0"/>
        <w:spacing w:lineRule="auto" w:line="288" w:before="0" w:after="240"/>
        <w:ind w:left="0" w:right="0" w:firstLine="360"/>
        <w:jc w:val="both"/>
        <w:rPr/>
      </w:pPr>
      <w:r>
        <w:rPr>
          <w:rFonts w:ascii="Arial;sans-serif" w:hAnsi="Arial;sans-serif"/>
          <w:b w:val="false"/>
          <w:i/>
          <w:color w:val="000000"/>
          <w:sz w:val="20"/>
        </w:rPr>
        <w:t xml:space="preserve">Investment securities available-for-sale - </w:t>
      </w:r>
      <w:r>
        <w:rPr>
          <w:rFonts w:ascii="Arial;sans-serif" w:hAnsi="Arial;sans-serif"/>
          <w:b w:val="false"/>
          <w:color w:val="000000"/>
          <w:sz w:val="20"/>
        </w:rPr>
        <w:t xml:space="preserve">The fair values for investment securities available-for-sale are provided by an independent pricing service and are determined by quoted market prices, if available (Level 1). For securities where quoted prices are not available, fair values are calculated based on market prices of similar securities (Level 2), using matrix pricing. Matrix pricing, which is a mathematical technique commonly used to price debt securities that are not actively traded, values debt securities without relying exclusively on quoted prices for the specific securities but rather by relying on the securities’ relationship to other benchmark quoted securities (Level 2 inputs). For securities where quoted prices or market prices of similar securities are not available, fair values are calculated using discounted cash flows or other market indicators (Level 3). </w:t>
      </w:r>
    </w:p>
    <w:p>
      <w:pPr>
        <w:pStyle w:val="TextBody"/>
        <w:bidi w:val="0"/>
        <w:spacing w:lineRule="auto" w:line="288" w:before="0" w:after="240"/>
        <w:ind w:left="0" w:right="0" w:firstLine="360"/>
        <w:jc w:val="both"/>
        <w:rPr/>
      </w:pPr>
      <w:r>
        <w:rPr>
          <w:rFonts w:ascii="Arial;sans-serif" w:hAnsi="Arial;sans-serif"/>
          <w:b w:val="false"/>
          <w:i/>
          <w:color w:val="000000"/>
          <w:sz w:val="20"/>
        </w:rPr>
        <w:t>Loans held for sale</w:t>
      </w:r>
      <w:r>
        <w:rPr>
          <w:color w:val="000000"/>
        </w:rPr>
        <w:t xml:space="preserve"> </w:t>
      </w:r>
      <w:r>
        <w:rPr>
          <w:rFonts w:ascii="Arial;sans-serif" w:hAnsi="Arial;sans-serif"/>
          <w:b w:val="false"/>
          <w:color w:val="000000"/>
          <w:sz w:val="20"/>
        </w:rPr>
        <w:t xml:space="preserve">- The fair value of loans held for sale is determined using quoted prices for similar assets, adjusted for specific attributes of that loan (Level 2). </w:t>
      </w:r>
    </w:p>
    <w:p>
      <w:pPr>
        <w:pStyle w:val="TextBody"/>
        <w:bidi w:val="0"/>
        <w:spacing w:lineRule="auto" w:line="288" w:before="0" w:after="240"/>
        <w:ind w:left="0" w:right="0" w:firstLine="360"/>
        <w:jc w:val="both"/>
        <w:rPr/>
      </w:pPr>
      <w:r>
        <w:rPr>
          <w:rFonts w:ascii="Arial;sans-serif" w:hAnsi="Arial;sans-serif"/>
          <w:b w:val="false"/>
          <w:i/>
          <w:color w:val="000000"/>
          <w:sz w:val="20"/>
        </w:rPr>
        <w:t>Loan servicing assets</w:t>
      </w:r>
      <w:r>
        <w:rPr>
          <w:color w:val="000000"/>
        </w:rPr>
        <w:t xml:space="preserve"> </w:t>
      </w:r>
      <w:r>
        <w:rPr>
          <w:rFonts w:ascii="Arial;sans-serif" w:hAnsi="Arial;sans-serif"/>
          <w:b w:val="false"/>
          <w:color w:val="000000"/>
          <w:sz w:val="20"/>
        </w:rPr>
        <w:t xml:space="preserve">- The fair values of loan servicing assets are determined at a tranche level, based on market prices for comparable servicing contracts (Level 2), when available, or alternatively based on a valuation model that calculates the present value of estimated future net servicing income. The valuation model utilizes interest rate, prepayment speed, and default rate assumptions that market participants would use in estimating future net servicing income and that can be validated against available market data (Level 2). </w:t>
      </w:r>
    </w:p>
    <w:p>
      <w:pPr>
        <w:pStyle w:val="TextBody"/>
        <w:bidi w:val="0"/>
        <w:spacing w:lineRule="auto" w:line="288" w:before="0" w:after="240"/>
        <w:ind w:left="0" w:right="0" w:firstLine="360"/>
        <w:jc w:val="both"/>
        <w:rPr/>
      </w:pPr>
      <w:r>
        <w:rPr>
          <w:rFonts w:ascii="Arial;sans-serif" w:hAnsi="Arial;sans-serif"/>
          <w:b w:val="false"/>
          <w:i/>
          <w:color w:val="000000"/>
          <w:sz w:val="20"/>
        </w:rPr>
        <w:t xml:space="preserve">Derivative financial instruments </w:t>
      </w:r>
      <w:r>
        <w:rPr>
          <w:rFonts w:ascii="Arial;sans-serif" w:hAnsi="Arial;sans-serif"/>
          <w:b w:val="false"/>
          <w:color w:val="000000"/>
          <w:sz w:val="20"/>
        </w:rPr>
        <w:t>- The fair value of derivatives are based on valuation models using observable market data as of the measurement date (Level 2). Our derivatives are traded in an over-the-counter market where quoted market prices are not always available. Therefore, the fair values of derivatives are determined using quantitative models that utilize multiple market inputs. The inputs will vary based on the type of derivative, but could include interest rates, prices and indices to generate continuous yield or pricing curves, prepayment rates, and volatility factors to value the position. The majority of market inputs are actively quoted and can be validated through external sources, including brokers, market transactions and third-party pricing services. See Note 5 - Derivative Financial Instruments for additional information on derivatives.</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28650"/>
                <wp:effectExtent l="0" t="0" r="0" b="0"/>
                <wp:wrapNone/>
                <wp:docPr id="29" name="Frame2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8 - Fair Value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has categorized its financial instruments measured at fair value on a recurring basis as of March 31, 2026 and December 31, 2025 as follows:</w:t>
      </w:r>
    </w:p>
    <w:tbl>
      <w:tblPr>
        <w:tblW w:w="10205" w:type="dxa"/>
        <w:jc w:val="center"/>
        <w:tblInd w:w="0" w:type="dxa"/>
        <w:tblLayout w:type="fixed"/>
        <w:tblCellMar>
          <w:top w:w="28" w:type="dxa"/>
          <w:left w:w="28" w:type="dxa"/>
          <w:bottom w:w="28" w:type="dxa"/>
          <w:right w:w="28" w:type="dxa"/>
        </w:tblCellMar>
      </w:tblPr>
      <w:tblGrid>
        <w:gridCol w:w="700"/>
        <w:gridCol w:w="590"/>
        <w:gridCol w:w="594"/>
        <w:gridCol w:w="109"/>
        <w:gridCol w:w="109"/>
        <w:gridCol w:w="109"/>
        <w:gridCol w:w="196"/>
        <w:gridCol w:w="751"/>
        <w:gridCol w:w="109"/>
        <w:gridCol w:w="109"/>
        <w:gridCol w:w="109"/>
        <w:gridCol w:w="109"/>
        <w:gridCol w:w="414"/>
        <w:gridCol w:w="1586"/>
        <w:gridCol w:w="230"/>
        <w:gridCol w:w="109"/>
        <w:gridCol w:w="109"/>
        <w:gridCol w:w="109"/>
        <w:gridCol w:w="368"/>
        <w:gridCol w:w="1243"/>
        <w:gridCol w:w="205"/>
        <w:gridCol w:w="109"/>
        <w:gridCol w:w="109"/>
        <w:gridCol w:w="109"/>
        <w:gridCol w:w="494"/>
        <w:gridCol w:w="1023"/>
        <w:gridCol w:w="394"/>
      </w:tblGrid>
      <w:tr>
        <w:trPr/>
        <w:tc>
          <w:tcPr>
            <w:tcW w:w="70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 Active Markets for Identical Assets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 Other Observable Inputs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 Unobservable Inputs (Level 3)</w:t>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140,692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140,692</w:t>
            </w: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1" w:type="dxa"/>
            <w:gridSpan w:val="3"/>
            <w:tcBorders/>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13,800</w:t>
            </w: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3,407</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4,841</w:t>
            </w: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67,785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67,785</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230,525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140,692</w:t>
            </w: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89,833</w:t>
            </w: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1" w:type="dxa"/>
            <w:gridSpan w:val="3"/>
            <w:tcBorders/>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13,739</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13,739</w:t>
            </w:r>
            <w:r>
              <w:rPr>
                <w:color w:val="000000"/>
              </w:rPr>
              <w:t> </w:t>
            </w:r>
          </w:p>
        </w:tc>
        <w:tc>
          <w:tcPr>
            <w:tcW w:w="20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1,957</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1,957</w:t>
            </w:r>
            <w:r>
              <w:rPr>
                <w:color w:val="000000"/>
              </w:rPr>
              <w:t> </w:t>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6,265</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6,265</w:t>
            </w:r>
            <w:r>
              <w:rPr>
                <w:color w:val="000000"/>
              </w:rPr>
              <w:t> </w:t>
            </w:r>
          </w:p>
        </w:tc>
        <w:tc>
          <w:tcPr>
            <w:tcW w:w="20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w:t>
            </w:r>
            <w:r>
              <w:rPr>
                <w:color w:val="000000"/>
              </w:rPr>
              <w:t> </w:t>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137,236 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1" w:type="dxa"/>
            <w:gridSpan w:val="3"/>
            <w:tcBorders/>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13,897 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70,520 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137,236 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92,847 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1" w:type="dxa"/>
            <w:gridSpan w:val="3"/>
            <w:tcBorders/>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25,828 </w:t>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1,816 </w:t>
            </w:r>
          </w:p>
        </w:tc>
        <w:tc>
          <w:tcPr>
            <w:tcW w:w="20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5,941 </w:t>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0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Financial instruments recorded using FASB ASC 825-10</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following table reflects the difference between the fair value carrying amount of loans held for sale, measured at fair value under FASB ASC 825-10, and the aggregate unpaid principal amount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28650"/>
                <wp:effectExtent l="0" t="0" r="0" b="0"/>
                <wp:wrapNone/>
                <wp:docPr id="30" name="Frame2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8 - Fair Value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Company is contractually entitled to receive at maturity:</w:t>
      </w:r>
    </w:p>
    <w:tbl>
      <w:tblPr>
        <w:tblW w:w="6427" w:type="dxa"/>
        <w:jc w:val="center"/>
        <w:tblInd w:w="0" w:type="dxa"/>
        <w:tblLayout w:type="fixed"/>
        <w:tblCellMar>
          <w:top w:w="28" w:type="dxa"/>
          <w:left w:w="28" w:type="dxa"/>
          <w:bottom w:w="28" w:type="dxa"/>
          <w:right w:w="28" w:type="dxa"/>
        </w:tblCellMar>
      </w:tblPr>
      <w:tblGrid>
        <w:gridCol w:w="1049"/>
        <w:gridCol w:w="919"/>
        <w:gridCol w:w="927"/>
        <w:gridCol w:w="109"/>
        <w:gridCol w:w="109"/>
        <w:gridCol w:w="109"/>
        <w:gridCol w:w="255"/>
        <w:gridCol w:w="862"/>
        <w:gridCol w:w="142"/>
        <w:gridCol w:w="109"/>
        <w:gridCol w:w="109"/>
        <w:gridCol w:w="109"/>
        <w:gridCol w:w="318"/>
        <w:gridCol w:w="1051"/>
        <w:gridCol w:w="250"/>
      </w:tblGrid>
      <w:tr>
        <w:trPr/>
        <w:tc>
          <w:tcPr>
            <w:tcW w:w="104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Fair Value of Loans 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Aggregate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13,739</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25,828 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Contractual principal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13,380</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25,332 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Difference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359</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has elected to account for loans held for sale at fair value to eliminate the mismatch that would occur by recording changes in market value on derivative instruments used to hedge loans held for sale while carrying the loans at the lower of cost or market. As of March 31, 2026 and December 31, 2025, there were no held for sale loans which were classified as nonaccrual.</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Fair value measurements on a nonrecurring basis</w:t>
      </w:r>
    </w:p>
    <w:p>
      <w:pPr>
        <w:pStyle w:val="TextBody"/>
        <w:bidi w:val="0"/>
        <w:spacing w:lineRule="auto" w:line="288" w:before="0" w:after="240"/>
        <w:ind w:left="0" w:right="0" w:firstLine="360"/>
        <w:jc w:val="both"/>
        <w:rPr/>
      </w:pPr>
      <w:r>
        <w:rPr>
          <w:rFonts w:ascii="Arial;sans-serif" w:hAnsi="Arial;sans-serif"/>
          <w:b w:val="false"/>
          <w:i/>
          <w:color w:val="000000"/>
          <w:sz w:val="20"/>
        </w:rPr>
        <w:t>Individually evaluated loans</w:t>
      </w:r>
      <w:r>
        <w:rPr>
          <w:color w:val="000000"/>
        </w:rPr>
        <w:t xml:space="preserve"> </w:t>
      </w:r>
      <w:r>
        <w:rPr>
          <w:rFonts w:ascii="Arial;sans-serif" w:hAnsi="Arial;sans-serif"/>
          <w:b w:val="false"/>
          <w:color w:val="000000"/>
          <w:sz w:val="20"/>
        </w:rPr>
        <w:t>- The Company has measured expected credit losses based on the fair value of the loan's collateral and discounted cash flow analysis, where appropriate. Fair value of the collateral is generally determined based upon independent third-party appraisals of the properties, or discounted cash flows based upon the expected proceeds. These assets are included as Level 3 fair values. As of March 31, 2026 and December 31, 2025, the fair values consist of loan balances of $52.0 million and $52.1 million, with specific reserves of $10.0 million and $10.1 million, respectively.</w:t>
      </w:r>
    </w:p>
    <w:p>
      <w:pPr>
        <w:pStyle w:val="TextBody"/>
        <w:bidi w:val="0"/>
        <w:spacing w:lineRule="auto" w:line="288" w:before="0" w:after="240"/>
        <w:ind w:left="0" w:right="0" w:firstLine="360"/>
        <w:jc w:val="both"/>
        <w:rPr/>
      </w:pPr>
      <w:r>
        <w:rPr>
          <w:rFonts w:ascii="Arial;sans-serif" w:hAnsi="Arial;sans-serif"/>
          <w:b w:val="false"/>
          <w:i/>
          <w:color w:val="000000"/>
          <w:sz w:val="20"/>
        </w:rPr>
        <w:t>Foreclosed real estate</w:t>
      </w:r>
      <w:r>
        <w:rPr>
          <w:color w:val="000000"/>
        </w:rPr>
        <w:t xml:space="preserve"> </w:t>
      </w:r>
      <w:r>
        <w:rPr>
          <w:rFonts w:ascii="Arial;sans-serif" w:hAnsi="Arial;sans-serif"/>
          <w:b w:val="false"/>
          <w:color w:val="000000"/>
          <w:sz w:val="20"/>
        </w:rPr>
        <w:t>- The Company's foreclosed real estate is measured at fair value less cost to sell. Fair value is determined based on offers and/or appraisals. Cost to sell the real estate is based on standard market factors. The Company categorizes its foreclosed real estate as Level 3. As of March 31, 2026, the Company held $3.9 million of foreclosed real estate, which rolls up into Other assets on the consolidated balance sheet. As of December 31, 2025, there was $3.9 million of foreclosed real estate held by the Company.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has categorized its financial instruments measured at fair value on a nonrecurring basis as of March 31, 2026 and December 31, 2025 as follows:</w:t>
      </w:r>
    </w:p>
    <w:tbl>
      <w:tblPr>
        <w:tblW w:w="5856" w:type="dxa"/>
        <w:jc w:val="left"/>
        <w:tblInd w:w="0" w:type="dxa"/>
        <w:tblLayout w:type="fixed"/>
        <w:tblCellMar>
          <w:top w:w="28" w:type="dxa"/>
          <w:left w:w="28" w:type="dxa"/>
          <w:bottom w:w="28" w:type="dxa"/>
          <w:right w:w="28" w:type="dxa"/>
        </w:tblCellMar>
      </w:tblPr>
      <w:tblGrid>
        <w:gridCol w:w="839"/>
        <w:gridCol w:w="740"/>
        <w:gridCol w:w="745"/>
        <w:gridCol w:w="109"/>
        <w:gridCol w:w="109"/>
        <w:gridCol w:w="109"/>
        <w:gridCol w:w="255"/>
        <w:gridCol w:w="862"/>
        <w:gridCol w:w="142"/>
        <w:gridCol w:w="109"/>
        <w:gridCol w:w="109"/>
        <w:gridCol w:w="109"/>
        <w:gridCol w:w="318"/>
        <w:gridCol w:w="1051"/>
        <w:gridCol w:w="250"/>
      </w:tblGrid>
      <w:tr>
        <w:trPr/>
        <w:tc>
          <w:tcPr>
            <w:tcW w:w="83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946" w:type="dxa"/>
            <w:gridSpan w:val="6"/>
            <w:tcBorders/>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16"/>
              </w:rPr>
            </w:pPr>
            <w:r>
              <w:rPr>
                <w:rFonts w:ascii="Arial;sans-serif" w:hAnsi="Arial;sans-serif"/>
                <w:b/>
                <w:color w:val="000000"/>
                <w:sz w:val="16"/>
              </w:rPr>
              <w:t>December 31, 2025</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Individually evaluated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Level 3 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Arial;sans-serif" w:hAnsi="Arial;sans-serif"/>
                <w:b/>
                <w:color w:val="000000"/>
                <w:sz w:val="16"/>
              </w:rPr>
            </w:pPr>
            <w:r>
              <w:rPr>
                <w:rFonts w:ascii="Arial;sans-serif" w:hAnsi="Arial;sans-serif"/>
                <w:b/>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pPr>
            <w:r>
              <w:rPr>
                <w:rFonts w:ascii="Arial;sans-serif" w:hAnsi="Arial;sans-serif"/>
                <w:b/>
                <w:color w:val="000000"/>
                <w:sz w:val="16"/>
              </w:rPr>
              <w:t>42,036</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Arial;sans-serif" w:hAnsi="Arial;sans-serif"/>
                <w:b w:val="false"/>
                <w:color w:val="000000"/>
                <w:sz w:val="16"/>
              </w:rPr>
            </w:pPr>
            <w:r>
              <w:rPr>
                <w:rFonts w:ascii="Arial;sans-serif" w:hAnsi="Arial;sans-serif"/>
                <w:b w:val="false"/>
                <w:color w:val="000000"/>
                <w:sz w:val="16"/>
              </w:rPr>
              <w:t>42,945 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Foreclosed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Level 3 inputs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3,856</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45,892</w:t>
            </w:r>
            <w:r>
              <w:rPr>
                <w:color w:val="000000"/>
              </w:rPr>
              <w:t> </w:t>
            </w:r>
          </w:p>
        </w:tc>
        <w:tc>
          <w:tcPr>
            <w:tcW w:w="1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46,801 </w:t>
            </w:r>
          </w:p>
        </w:tc>
        <w:tc>
          <w:tcPr>
            <w:tcW w:w="2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28650"/>
                <wp:effectExtent l="0" t="0" r="0" b="0"/>
                <wp:wrapNone/>
                <wp:docPr id="31" name="Frame3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8 - Fair Value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provides information describing the unobservable inputs used in Level 3 fair value measurements at March 31, 2026 and December 31, 2025:</w:t>
      </w:r>
    </w:p>
    <w:tbl>
      <w:tblPr>
        <w:tblW w:w="10205" w:type="dxa"/>
        <w:jc w:val="left"/>
        <w:tblInd w:w="0" w:type="dxa"/>
        <w:tblLayout w:type="fixed"/>
        <w:tblCellMar>
          <w:top w:w="28" w:type="dxa"/>
          <w:left w:w="28" w:type="dxa"/>
          <w:bottom w:w="28" w:type="dxa"/>
          <w:right w:w="28" w:type="dxa"/>
        </w:tblCellMar>
      </w:tblPr>
      <w:tblGrid>
        <w:gridCol w:w="664"/>
        <w:gridCol w:w="534"/>
        <w:gridCol w:w="486"/>
        <w:gridCol w:w="769"/>
        <w:gridCol w:w="769"/>
        <w:gridCol w:w="771"/>
        <w:gridCol w:w="183"/>
        <w:gridCol w:w="183"/>
        <w:gridCol w:w="190"/>
        <w:gridCol w:w="1389"/>
        <w:gridCol w:w="1389"/>
        <w:gridCol w:w="1393"/>
        <w:gridCol w:w="109"/>
        <w:gridCol w:w="109"/>
        <w:gridCol w:w="109"/>
        <w:gridCol w:w="336"/>
        <w:gridCol w:w="336"/>
        <w:gridCol w:w="486"/>
      </w:tblGrid>
      <w:tr>
        <w:trPr/>
        <w:tc>
          <w:tcPr>
            <w:tcW w:w="66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5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Unobservable Inputs</w:t>
            </w:r>
          </w:p>
        </w:tc>
        <w:tc>
          <w:tcPr>
            <w:tcW w:w="4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Valuation Technique</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Range of Inputs</w:t>
            </w:r>
          </w:p>
        </w:tc>
      </w:tr>
      <w:tr>
        <w:trPr/>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March 31, 2026</w:t>
            </w:r>
          </w:p>
        </w:tc>
        <w:tc>
          <w:tcPr>
            <w:tcW w:w="2309" w:type="dxa"/>
            <w:gridSpan w:val="3"/>
            <w:vMerge w:val="continue"/>
            <w:tcBorders/>
            <w:tcMar>
              <w:top w:w="0" w:type="dxa"/>
              <w:left w:w="0" w:type="dxa"/>
              <w:bottom w:w="0" w:type="dxa"/>
              <w:right w:w="0" w:type="dxa"/>
            </w:tcMar>
            <w:vAlign w:val="center"/>
          </w:tcPr>
          <w:p>
            <w:pPr>
              <w:pStyle w:val="Normal"/>
              <w:bidi w:val="0"/>
              <w:jc w:val="left"/>
              <w:rPr/>
            </w:pPr>
            <w:r>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Individually evaluated loans</w:t>
            </w:r>
          </w:p>
        </w:tc>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Appraised Value/Discounted Cash Flows</w:t>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Discounts to appraisals or cash flows for estimated holding and/or selling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0 to 30% </w:t>
            </w:r>
            <w:r>
              <w:rPr>
                <w:rFonts w:ascii="Arial;sans-serif" w:hAnsi="Arial;sans-serif"/>
                <w:b w:val="false"/>
                <w:color w:val="000000"/>
                <w:sz w:val="10"/>
              </w:rPr>
              <w:t>1</w:t>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Foreclosed real estate</w:t>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Appraised Value</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Discounts to appraisals for estimated holding and/or selling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0 to 30%</w:t>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Valuation Technique</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Unobservable 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Range of Inputs</w:t>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Individually evaluated loans</w:t>
            </w:r>
          </w:p>
        </w:tc>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Appraised Value/Discounted Cash Flows</w:t>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Discounts to appraisals or cash flows for estimated holding and/or selling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0 to 30% </w:t>
            </w:r>
            <w:r>
              <w:rPr>
                <w:rFonts w:ascii="Arial;sans-serif" w:hAnsi="Arial;sans-serif"/>
                <w:b w:val="false"/>
                <w:color w:val="000000"/>
                <w:sz w:val="10"/>
              </w:rPr>
              <w:t>1</w:t>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Foreclosed Real Estate</w:t>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Appraised Value</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Discounts to appraisals for estimated holding and/or selling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0 to 30%</w:t>
            </w:r>
          </w:p>
        </w:tc>
      </w:tr>
    </w:tbl>
    <w:p>
      <w:pPr>
        <w:pStyle w:val="TextBody"/>
        <w:bidi w:val="0"/>
        <w:spacing w:lineRule="auto" w:line="288" w:before="0" w:after="240"/>
        <w:jc w:val="both"/>
        <w:rPr/>
      </w:pPr>
      <w:r>
        <w:rPr>
          <w:rFonts w:ascii="Arial;sans-serif" w:hAnsi="Arial;sans-serif"/>
          <w:b w:val="false"/>
          <w:color w:val="000000"/>
          <w:sz w:val="10"/>
        </w:rPr>
        <w:t>(1)</w:t>
      </w:r>
      <w:r>
        <w:rPr>
          <w:rFonts w:ascii="Arial;sans-serif" w:hAnsi="Arial;sans-serif"/>
          <w:b w:val="false"/>
          <w:color w:val="000000"/>
          <w:sz w:val="16"/>
        </w:rPr>
        <w:t xml:space="preserve">A discount rate of 63.4% was used for the acquired PCD loan that was evaluated as a measurement period adjustment during 2025 to the Day-1 purchase accounting. All other individually evaluated loans used a range of 0 to 30%.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the contractual right or obligation to either receive or deliver cash for another financial instrument.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information used to determine fair value is highly subjective in nature and, therefore, the results are imprecise. Subjective factors include, among other things, estimates of 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2026, the techniques used by the Company to estimate the exit price of the loan portfolio consists of similar procedures to those used as of December 31, 2025. The fair value of the Company’s loan portfolio includes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individually evaluated loans, and all other loans. The results are then adjusted to account for credit risk as described above, and a further credit risk discount is applied through the use of a discounted cash flow model to compensate for illiquidity risk, based on certain assumptions included within the discounted cash flow model, primarily the use of discount rates that better capture inherent credit risk over the lifetime of a loan.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variable-rate loans that reprice frequently and have no significant change in credit risk, fair values approximate carrying values. Fair values for individually evaluated loans are estimated using discounted cash flow models or based on the fair value of the underlying collateral.</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cash and cash equivalents and investments in restricted stocks is the carrying amount. Restricted investments includes equity of the Federal Reserve and other banker’s banks.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28650"/>
                <wp:effectExtent l="0" t="0" r="0" b="0"/>
                <wp:wrapNone/>
                <wp:docPr id="32" name="Frame3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8 - Fair Value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noninterest-bearing deposits and securities sold under agreements to repurchase is the carrying amount.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borrowings is estimated by discounting the value of contractual cash flows using current market rates for borrowings with similar terms and remaining maturities.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table below presents the carrying amount, fair value, and placement in the fair value hierarchy of the Company’s financial instruments. </w:t>
      </w:r>
    </w:p>
    <w:tbl>
      <w:tblPr>
        <w:tblW w:w="10171" w:type="dxa"/>
        <w:jc w:val="left"/>
        <w:tblInd w:w="0" w:type="dxa"/>
        <w:tblLayout w:type="fixed"/>
        <w:tblCellMar>
          <w:top w:w="28" w:type="dxa"/>
          <w:left w:w="28" w:type="dxa"/>
          <w:bottom w:w="28" w:type="dxa"/>
          <w:right w:w="28" w:type="dxa"/>
        </w:tblCellMar>
      </w:tblPr>
      <w:tblGrid>
        <w:gridCol w:w="1436"/>
        <w:gridCol w:w="1265"/>
        <w:gridCol w:w="1273"/>
        <w:gridCol w:w="242"/>
        <w:gridCol w:w="1094"/>
        <w:gridCol w:w="134"/>
        <w:gridCol w:w="109"/>
        <w:gridCol w:w="109"/>
        <w:gridCol w:w="109"/>
        <w:gridCol w:w="196"/>
        <w:gridCol w:w="886"/>
        <w:gridCol w:w="109"/>
        <w:gridCol w:w="109"/>
        <w:gridCol w:w="109"/>
        <w:gridCol w:w="109"/>
        <w:gridCol w:w="222"/>
        <w:gridCol w:w="989"/>
        <w:gridCol w:w="123"/>
        <w:gridCol w:w="109"/>
        <w:gridCol w:w="109"/>
        <w:gridCol w:w="109"/>
        <w:gridCol w:w="196"/>
        <w:gridCol w:w="871"/>
        <w:gridCol w:w="154"/>
      </w:tblGrid>
      <w:tr>
        <w:trPr/>
        <w:tc>
          <w:tcPr>
            <w:tcW w:w="143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Fair Value</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assets</w:t>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1</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due from banks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20,182</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 at other financial institutions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379,069</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379,069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funds sold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2</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receivable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16,795</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3</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 net</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2,971,751</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2,917,829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2,904,797 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2,853,268 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8,691</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Foreclosed real estate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3,856</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liabilities</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1</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deposits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871,677</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871,677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852,741 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2</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payable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8,944</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3</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2,420,370</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2,422,306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2,240,459 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2,243,002 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FHLB advances and other borrowed funds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52,062</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52,135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9 - Segments</w:t>
      </w:r>
    </w:p>
    <w:p>
      <w:pPr>
        <w:pStyle w:val="TextBody"/>
        <w:bidi w:val="0"/>
        <w:spacing w:lineRule="auto" w:line="288" w:before="0" w:after="240"/>
        <w:ind w:left="0" w:right="0" w:firstLine="360"/>
        <w:jc w:val="both"/>
        <w:rPr/>
      </w:pPr>
      <w:r>
        <w:rPr>
          <w:rFonts w:ascii="Arial;sans-serif" w:hAnsi="Arial;sans-serif"/>
          <w:b w:val="false"/>
          <w:color w:val="000000"/>
          <w:sz w:val="20"/>
        </w:rPr>
        <w:t>The Company’s reportable segments represent business units with discrete financial information whose results are regularly reviewed by management. The four segments include Commercial Banking, OpenSky</w:t>
      </w:r>
      <w:r>
        <w:rPr>
          <w:color w:val="000000"/>
        </w:rPr>
        <w:t xml:space="preserve">™ </w:t>
      </w:r>
      <w:r>
        <w:rPr>
          <w:rFonts w:ascii="Arial;sans-serif" w:hAnsi="Arial;sans-serif"/>
          <w:b w:val="false"/>
          <w:color w:val="000000"/>
          <w:sz w:val="20"/>
        </w:rPr>
        <w:t xml:space="preserve">(the Company’s credit card division), Windsor Advantage™ (the Company’s SBA/USDA loan servicing provider) and CBHL (the Company’s residential mortgage loan division).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8650"/>
                <wp:effectExtent l="0" t="0" r="0" b="0"/>
                <wp:wrapNone/>
                <wp:docPr id="33" name="Frame3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9 - Segments (continued)</w:t>
            </w:r>
          </w:p>
        </w:tc>
      </w:tr>
    </w:tbl>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Company’s Commercial Banking division operates primarily in the Washington, D.C. and Baltimore metropolitan areas and focuses on providing personalized service to commercial clients throughout our area of operations supplemented by lending outside of our primary market as well as engaging in government guaranteed lending on a national basis. Additionally, the Commercial Bank engages in deposit verticals on a nationwide scale providing services to HOAs, mortgage companies and other customers.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issues credit cards through OpenSky™, a digitally-driven, nationwide credit card platform providing secured, partially secured, and unsecured credit solutions, and originates residential mortgages for sale in the secondary market through CBHL, the Bank’s residential mortgage banking arm. Additionally, Windsor Advantage™, a wholly owned subsidiary of the Company, is a loan service provider that offers community banks and credit unions a comprehensive SBA 7(a) and USDA lending platform.</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Company’s reportable segments are determined by the Company’s designated chief operating decision maker, which is comprised of the Company’s Chief Executive Officer (“CEO”) and the Bank’s CEO, based upon organizational design, leadership structure and the Company’s products and services offered. The Company’s reportable segments are also distinguished by the level of information provided to the chief operating decision maker, which is used to review performance of various components of the business, which are then aggregated if operating performance, products/services, and customers are similar.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chief operating decision maker evaluates the financial performance of the Company’s business components by evaluating revenue streams, significant expenses, and variance to the annual financial plan to assess the performance of the Company’s segments and in the determination of allocating resources and investments. </w:t>
      </w:r>
    </w:p>
    <w:p>
      <w:pPr>
        <w:pStyle w:val="TextBody"/>
        <w:bidi w:val="0"/>
        <w:spacing w:lineRule="auto" w:line="288" w:before="0" w:after="240"/>
        <w:ind w:left="0" w:right="0" w:firstLine="360"/>
        <w:jc w:val="both"/>
        <w:rPr/>
      </w:pPr>
      <w:r>
        <w:rPr>
          <w:rFonts w:ascii="Arial;sans-serif" w:hAnsi="Arial;sans-serif"/>
          <w:b w:val="false"/>
          <w:color w:val="000000"/>
          <w:sz w:val="20"/>
        </w:rPr>
        <w:t>The chief operating decision maker uses revenue streams and other relevant market data to evaluate product pricing and significant expenses to assess segment performance. Segment pretax income or loss, return on assets and the efficiency ratio is used to assess the performance of the Commercial Bank segment by monitoring the margin between interest income and interest expense. Segment pretax income or loss is used to assess the performance of the CBHL segment by monitoring the mortgage banking revenue from loan originations and sales. Segment pretax income or loss is used to assess the performance of the OpenSky</w:t>
      </w:r>
      <w:r>
        <w:rPr>
          <w:color w:val="000000"/>
        </w:rPr>
        <w:t xml:space="preserve">™ </w:t>
      </w:r>
      <w:r>
        <w:rPr>
          <w:rFonts w:ascii="Arial;sans-serif" w:hAnsi="Arial;sans-serif"/>
          <w:b w:val="false"/>
          <w:color w:val="000000"/>
          <w:sz w:val="20"/>
        </w:rPr>
        <w:t>segment by monitoring credit card interest income, interchange fees, and other fees. Segment pretax income or loss is used to assess the performance of the Windsor Advantage</w:t>
      </w:r>
      <w:r>
        <w:rPr>
          <w:color w:val="000000"/>
        </w:rPr>
        <w:t xml:space="preserve">™ </w:t>
      </w:r>
      <w:r>
        <w:rPr>
          <w:rFonts w:ascii="Arial;sans-serif" w:hAnsi="Arial;sans-serif"/>
          <w:b w:val="false"/>
          <w:color w:val="000000"/>
          <w:sz w:val="20"/>
        </w:rPr>
        <w:t>segment by monitoring the service charge revenues from Windsor Advantage</w:t>
      </w:r>
      <w:r>
        <w:rPr>
          <w:color w:val="000000"/>
        </w:rPr>
        <w:t xml:space="preserve">™ </w:t>
      </w:r>
      <w:r>
        <w:rPr>
          <w:rFonts w:ascii="Arial;sans-serif" w:hAnsi="Arial;sans-serif"/>
          <w:b w:val="false"/>
          <w:color w:val="000000"/>
          <w:sz w:val="20"/>
        </w:rPr>
        <w:t>customers.</w:t>
      </w:r>
    </w:p>
    <w:p>
      <w:pPr>
        <w:pStyle w:val="TextBody"/>
        <w:bidi w:val="0"/>
        <w:spacing w:lineRule="auto" w:line="288" w:before="0" w:after="240"/>
        <w:ind w:left="0" w:right="0" w:firstLine="360"/>
        <w:jc w:val="both"/>
        <w:rPr/>
      </w:pPr>
      <w:r>
        <w:rPr>
          <w:rFonts w:ascii="Arial;sans-serif" w:hAnsi="Arial;sans-serif"/>
          <w:b w:val="false"/>
          <w:color w:val="000000"/>
          <w:sz w:val="20"/>
        </w:rPr>
        <w:t>Loans, investments, and deposits and fees provide the revenues in the Commercial Bank; loan sales provide the revenues in CBHL; credit card loan interest and fees provide the revenues in OpenSky</w:t>
      </w:r>
      <w:r>
        <w:rPr>
          <w:color w:val="000000"/>
        </w:rPr>
        <w:t>™</w:t>
      </w:r>
      <w:r>
        <w:rPr>
          <w:rFonts w:ascii="Arial;sans-serif" w:hAnsi="Arial;sans-serif"/>
          <w:b w:val="false"/>
          <w:color w:val="000000"/>
          <w:sz w:val="20"/>
        </w:rPr>
        <w:t>; and service charges and ancillary fees provide the revenues in Windsor Advantage</w:t>
      </w:r>
      <w:r>
        <w:rPr>
          <w:color w:val="000000"/>
        </w:rPr>
        <w:t>™</w:t>
      </w:r>
      <w:r>
        <w:rPr>
          <w:rFonts w:ascii="Arial;sans-serif" w:hAnsi="Arial;sans-serif"/>
          <w:b w:val="false"/>
          <w:color w:val="000000"/>
          <w:sz w:val="20"/>
        </w:rPr>
        <w:t>. Interest expense, provisions for credit losses and personnel provide the significant expenses in the Commercial Bank; cost of loan sales and personnel provide the significant expenses in CBHL; data processing and personnel provide the significant expenses in OpenSky</w:t>
      </w:r>
      <w:r>
        <w:rPr>
          <w:color w:val="000000"/>
        </w:rPr>
        <w:t>™</w:t>
      </w:r>
      <w:r>
        <w:rPr>
          <w:rFonts w:ascii="Arial;sans-serif" w:hAnsi="Arial;sans-serif"/>
          <w:b w:val="false"/>
          <w:color w:val="000000"/>
          <w:sz w:val="20"/>
        </w:rPr>
        <w:t>; and personnel provide the significant expenses in Windsor Advantage</w:t>
      </w:r>
      <w:r>
        <w:rPr>
          <w:color w:val="000000"/>
        </w:rPr>
        <w:t>™</w:t>
      </w:r>
      <w:r>
        <w:rPr>
          <w:rFonts w:ascii="Arial;sans-serif" w:hAnsi="Arial;sans-serif"/>
          <w:b w:val="false"/>
          <w:color w:val="000000"/>
          <w:sz w:val="20"/>
        </w:rPr>
        <w: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formed Church Street Capital, LLC (“Church Street Capital” or “CSC”) in 2024 to provide short-term real estate financing to Washington, D.C. area investors and developers that may not meet all Bank credit criteria. CSC operates as a wholly owned subsidiary of Capital Bancorp, Inc. CSC originates and services a portfolio of primarily mezzanine loans with certain characteristics that do not meet Capital Bank’s general underwriting standards but command a higher rate of return. At March 31, 2026, CSC had loans totaling $5.1 million with a collectively assessed ACL of $203 thousand. Refer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28650"/>
                <wp:effectExtent l="0" t="0" r="0" b="0"/>
                <wp:wrapNone/>
                <wp:docPr id="34" name="Frame3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9 - Segments (continued)</w:t>
            </w:r>
          </w:p>
        </w:tc>
      </w:tr>
    </w:tbl>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Note 4 - “Portfolio Loans Receivable and Allowance for Credit Losses” to the “Notes to Unaudited Consolidated Financial Statements” for further discussion of the consolidated ACL. The operations of CSC are included within the Commercial Bank segment performance.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Accounting policies for segments are discussed in detail in Note 1 “Nature of Business and Basis of Presentation” in the “Notes to the Consolidated Financial Statements” contained in Item 8 “Financial Statements and Supplementary Data” of the Company’s Annual Report on Form 10-K for the year ended December 31, 2025. Segment performance is evaluated using income (loss) before taxes. Indirect expenses are allocated on revenue. Transactions among segments are made at fair value.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schedules reported internally for performance assessment by the chief operating decision maker present financial information for each reportable segment at and for the three months ended March 31, 2026 and 2025.</w:t>
      </w: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28650"/>
                <wp:effectExtent l="0" t="0" r="0" b="0"/>
                <wp:wrapNone/>
                <wp:docPr id="35" name="Frame3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9 - Segments (continued)</w:t>
            </w:r>
          </w:p>
        </w:tc>
      </w:tr>
    </w:tbl>
    <w:p>
      <w:pPr>
        <w:pStyle w:val="TextBody"/>
        <w:bidi w:val="0"/>
        <w:spacing w:before="0" w:after="24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968"/>
        <w:gridCol w:w="596"/>
        <w:gridCol w:w="600"/>
        <w:gridCol w:w="109"/>
        <w:gridCol w:w="109"/>
        <w:gridCol w:w="109"/>
        <w:gridCol w:w="229"/>
        <w:gridCol w:w="1038"/>
        <w:gridCol w:w="127"/>
        <w:gridCol w:w="109"/>
        <w:gridCol w:w="109"/>
        <w:gridCol w:w="109"/>
        <w:gridCol w:w="196"/>
        <w:gridCol w:w="752"/>
        <w:gridCol w:w="109"/>
        <w:gridCol w:w="109"/>
        <w:gridCol w:w="109"/>
        <w:gridCol w:w="109"/>
        <w:gridCol w:w="266"/>
        <w:gridCol w:w="899"/>
        <w:gridCol w:w="148"/>
        <w:gridCol w:w="109"/>
        <w:gridCol w:w="109"/>
        <w:gridCol w:w="109"/>
        <w:gridCol w:w="196"/>
        <w:gridCol w:w="661"/>
        <w:gridCol w:w="109"/>
        <w:gridCol w:w="109"/>
        <w:gridCol w:w="109"/>
        <w:gridCol w:w="109"/>
        <w:gridCol w:w="109"/>
        <w:gridCol w:w="109"/>
        <w:gridCol w:w="109"/>
        <w:gridCol w:w="109"/>
        <w:gridCol w:w="196"/>
        <w:gridCol w:w="886"/>
        <w:gridCol w:w="158"/>
      </w:tblGrid>
      <w:tr>
        <w:trPr/>
        <w:tc>
          <w:tcPr>
            <w:tcW w:w="96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9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Three Months Ended March 31, 2026</w:t>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Commercial Bank</w:t>
            </w:r>
            <w:r>
              <w:rPr>
                <w:rFonts w:ascii="Arial;sans-serif" w:hAnsi="Arial;sans-serif"/>
                <w:b/>
                <w:color w:val="000000"/>
                <w:sz w:val="1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Windsor Advantage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52,732</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67,970</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18,472</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18,572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34,260</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49,398</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344</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3,014</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33,711</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46,179</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charges 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4,692</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banking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416</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1,556</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lending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923</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923</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Government loan servicing revenue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5,607</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4,345</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rights (government guaranteed)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497</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497</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707</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957</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1,684</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5,607</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13,373</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Salaries and employee benefits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12,090</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2,664</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20,317</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1,870</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392</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3,562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2,468</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4,965</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545</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7,767</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718</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1,466</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1,076</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1,383</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and other card fraud related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assessment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598</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941</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1,140</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605</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2,590</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20,570</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4,146</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43,681</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14,825</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1,461</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15,871</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3,624,207</w:t>
            </w:r>
            <w:r>
              <w:rPr>
                <w:color w:val="000000"/>
              </w:rPr>
              <w:t> </w:t>
            </w:r>
          </w:p>
        </w:tc>
        <w:tc>
          <w:tcPr>
            <w:tcW w:w="1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135,414</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28,535</w:t>
            </w:r>
            <w:r>
              <w:rPr>
                <w:color w:val="000000"/>
              </w:rPr>
              <w:t> </w:t>
            </w:r>
          </w:p>
        </w:tc>
        <w:tc>
          <w:tcPr>
            <w:tcW w:w="1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20,311</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3,808,467</w:t>
            </w:r>
            <w:r>
              <w:rPr>
                <w:color w:val="000000"/>
              </w:rPr>
              <w:t>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Gross government loan servicing revenue totaled $5.6 million, including $1.3 million of servicing fees earned from the Commercial Bank by Windsor Advantage™, for the three months ended March 31, 2026.</w:t>
      </w:r>
    </w:p>
    <w:p>
      <w:pPr>
        <w:pStyle w:val="TextBody"/>
        <w:bidi w:val="0"/>
        <w:spacing w:lineRule="auto" w:line="288" w:before="0" w:after="0"/>
        <w:jc w:val="both"/>
        <w:rPr/>
      </w:pPr>
      <w:r>
        <w:rPr>
          <w:rFonts w:ascii="Arial;sans-serif" w:hAnsi="Arial;sans-serif"/>
          <w:b w:val="false"/>
          <w:color w:val="000000"/>
          <w:sz w:val="10"/>
        </w:rPr>
        <w:t xml:space="preserve">(2) </w:t>
      </w:r>
      <w:r>
        <w:rPr>
          <w:rFonts w:ascii="Arial;sans-serif" w:hAnsi="Arial;sans-serif"/>
          <w:b w:val="false"/>
          <w:color w:val="000000"/>
          <w:sz w:val="16"/>
        </w:rPr>
        <w:t>Commercial Bank’s return on assets of 1.66% for the three months ended March 31, 2026 is calculated by dividing net income before taxes by total assets.</w:t>
      </w:r>
    </w:p>
    <w:p>
      <w:pPr>
        <w:pStyle w:val="TextBody"/>
        <w:bidi w:val="0"/>
        <w:spacing w:lineRule="auto" w:line="288" w:before="0" w:after="240"/>
        <w:jc w:val="both"/>
        <w:rPr/>
      </w:pPr>
      <w:r>
        <w:rPr>
          <w:rFonts w:ascii="Arial;sans-serif" w:hAnsi="Arial;sans-serif"/>
          <w:b w:val="false"/>
          <w:color w:val="000000"/>
          <w:sz w:val="10"/>
        </w:rPr>
        <w:t xml:space="preserve">(3) </w:t>
      </w:r>
      <w:r>
        <w:rPr>
          <w:rFonts w:ascii="Arial;sans-serif" w:hAnsi="Arial;sans-serif"/>
          <w:b w:val="false"/>
          <w:color w:val="000000"/>
          <w:sz w:val="16"/>
        </w:rPr>
        <w:t>Commercial Bank’s efficiency ratio of 57.2% for the three months ended March 31, 2026 is calculated by dividing noninterest expense by total revenue (net interest income plus noninterest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28650"/>
                <wp:effectExtent l="0" t="0" r="0" b="0"/>
                <wp:wrapNone/>
                <wp:docPr id="36" name="Frame3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9 - Segments (continued)</w:t>
            </w:r>
          </w:p>
        </w:tc>
      </w:tr>
    </w:tbl>
    <w:p>
      <w:pPr>
        <w:pStyle w:val="TextBody"/>
        <w:bidi w:val="0"/>
        <w:spacing w:before="0" w:after="24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1000"/>
        <w:gridCol w:w="590"/>
        <w:gridCol w:w="594"/>
        <w:gridCol w:w="109"/>
        <w:gridCol w:w="109"/>
        <w:gridCol w:w="109"/>
        <w:gridCol w:w="235"/>
        <w:gridCol w:w="1045"/>
        <w:gridCol w:w="130"/>
        <w:gridCol w:w="109"/>
        <w:gridCol w:w="109"/>
        <w:gridCol w:w="109"/>
        <w:gridCol w:w="196"/>
        <w:gridCol w:w="736"/>
        <w:gridCol w:w="109"/>
        <w:gridCol w:w="109"/>
        <w:gridCol w:w="109"/>
        <w:gridCol w:w="109"/>
        <w:gridCol w:w="272"/>
        <w:gridCol w:w="898"/>
        <w:gridCol w:w="152"/>
        <w:gridCol w:w="109"/>
        <w:gridCol w:w="109"/>
        <w:gridCol w:w="109"/>
        <w:gridCol w:w="196"/>
        <w:gridCol w:w="646"/>
        <w:gridCol w:w="109"/>
        <w:gridCol w:w="109"/>
        <w:gridCol w:w="109"/>
        <w:gridCol w:w="109"/>
        <w:gridCol w:w="109"/>
        <w:gridCol w:w="109"/>
        <w:gridCol w:w="109"/>
        <w:gridCol w:w="109"/>
        <w:gridCol w:w="196"/>
        <w:gridCol w:w="871"/>
        <w:gridCol w:w="159"/>
      </w:tblGrid>
      <w:tr>
        <w:trPr/>
        <w:tc>
          <w:tcPr>
            <w:tcW w:w="100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216"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Commercial Bank</w:t>
            </w:r>
            <w:r>
              <w:rPr>
                <w:rFonts w:ascii="Arial;sans-serif" w:hAnsi="Arial;sans-serif"/>
                <w:b/>
                <w:color w:val="000000"/>
                <w:sz w:val="1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OpenSky™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Windsor Advantage™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48,164 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62,760 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31,515 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46,047 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31,069 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43,801 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charges on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banking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lending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Government loan servicing revenue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rights (government guaranteed)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Salaries and employee benefits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Data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and other card fraud related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assessment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18,560 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38,053 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14,983 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3,192,327 </w:t>
            </w:r>
          </w:p>
        </w:tc>
        <w:tc>
          <w:tcPr>
            <w:tcW w:w="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119,636 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23,750 </w:t>
            </w:r>
          </w:p>
        </w:tc>
        <w:tc>
          <w:tcPr>
            <w:tcW w:w="1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14,092 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3,349,805 </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Gross government loan servicing revenue totaled $4.6 million, including $1.0 million of servicing fees earned from the Commercial Bank by Windsor Advantage™, for the three months ended March 31, 2025.</w:t>
      </w:r>
    </w:p>
    <w:p>
      <w:pPr>
        <w:pStyle w:val="TextBody"/>
        <w:bidi w:val="0"/>
        <w:spacing w:lineRule="auto" w:line="288" w:before="0" w:after="0"/>
        <w:jc w:val="both"/>
        <w:rPr/>
      </w:pPr>
      <w:r>
        <w:rPr>
          <w:rFonts w:ascii="Arial;sans-serif" w:hAnsi="Arial;sans-serif"/>
          <w:b w:val="false"/>
          <w:color w:val="000000"/>
          <w:sz w:val="10"/>
        </w:rPr>
        <w:t xml:space="preserve">(2) </w:t>
      </w:r>
      <w:r>
        <w:rPr>
          <w:rFonts w:ascii="Arial;sans-serif" w:hAnsi="Arial;sans-serif"/>
          <w:b w:val="false"/>
          <w:color w:val="000000"/>
          <w:sz w:val="16"/>
        </w:rPr>
        <w:t>Commercial Bank’s return on assets of 1.90% for the three months ended March 31, 2025 is calculated by dividing net income before taxes by total assets.</w:t>
      </w:r>
    </w:p>
    <w:p>
      <w:pPr>
        <w:pStyle w:val="TextBody"/>
        <w:bidi w:val="0"/>
        <w:spacing w:lineRule="auto" w:line="288" w:before="0" w:after="0"/>
        <w:jc w:val="both"/>
        <w:rPr/>
      </w:pPr>
      <w:r>
        <w:rPr>
          <w:rFonts w:ascii="Arial;sans-serif" w:hAnsi="Arial;sans-serif"/>
          <w:b w:val="false"/>
          <w:color w:val="000000"/>
          <w:sz w:val="10"/>
        </w:rPr>
        <w:t xml:space="preserve">(3) </w:t>
      </w:r>
      <w:r>
        <w:rPr>
          <w:rFonts w:ascii="Arial;sans-serif" w:hAnsi="Arial;sans-serif"/>
          <w:b w:val="false"/>
          <w:color w:val="000000"/>
          <w:sz w:val="16"/>
        </w:rPr>
        <w:t>Commercial Bank’s efficiency ratio of 54.6% for the three months ended March 31, 2025 is calculated by dividing noninterest expense by total revenue (net interest income plus noninterest income).</w:t>
      </w:r>
    </w:p>
    <w:tbl>
      <w:tblPr>
        <w:tblW w:w="409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tbl>
      <w:tblPr>
        <w:tblW w:w="365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1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28650"/>
                <wp:effectExtent l="0" t="0" r="0" b="0"/>
                <wp:wrapNone/>
                <wp:docPr id="37" name="Frame3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9 - Segments (continued)</w:t>
            </w:r>
          </w:p>
        </w:tc>
      </w:tr>
    </w:tbl>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financial information as of March 31, 2026, December 31, 2025 and March 31, 2025.</w:t>
      </w:r>
    </w:p>
    <w:tbl>
      <w:tblPr>
        <w:tblW w:w="10205" w:type="dxa"/>
        <w:jc w:val="center"/>
        <w:tblInd w:w="0" w:type="dxa"/>
        <w:tblLayout w:type="fixed"/>
        <w:tblCellMar>
          <w:top w:w="28" w:type="dxa"/>
          <w:left w:w="28" w:type="dxa"/>
          <w:bottom w:w="28" w:type="dxa"/>
          <w:right w:w="28" w:type="dxa"/>
        </w:tblCellMar>
      </w:tblPr>
      <w:tblGrid>
        <w:gridCol w:w="648"/>
        <w:gridCol w:w="571"/>
        <w:gridCol w:w="577"/>
        <w:gridCol w:w="109"/>
        <w:gridCol w:w="109"/>
        <w:gridCol w:w="109"/>
        <w:gridCol w:w="233"/>
        <w:gridCol w:w="1055"/>
        <w:gridCol w:w="129"/>
        <w:gridCol w:w="109"/>
        <w:gridCol w:w="109"/>
        <w:gridCol w:w="109"/>
        <w:gridCol w:w="196"/>
        <w:gridCol w:w="751"/>
        <w:gridCol w:w="109"/>
        <w:gridCol w:w="109"/>
        <w:gridCol w:w="109"/>
        <w:gridCol w:w="109"/>
        <w:gridCol w:w="336"/>
        <w:gridCol w:w="1135"/>
        <w:gridCol w:w="187"/>
        <w:gridCol w:w="109"/>
        <w:gridCol w:w="109"/>
        <w:gridCol w:w="109"/>
        <w:gridCol w:w="196"/>
        <w:gridCol w:w="661"/>
        <w:gridCol w:w="109"/>
        <w:gridCol w:w="109"/>
        <w:gridCol w:w="109"/>
        <w:gridCol w:w="109"/>
        <w:gridCol w:w="109"/>
        <w:gridCol w:w="109"/>
        <w:gridCol w:w="109"/>
        <w:gridCol w:w="109"/>
        <w:gridCol w:w="196"/>
        <w:gridCol w:w="886"/>
        <w:gridCol w:w="159"/>
      </w:tblGrid>
      <w:tr>
        <w:trPr/>
        <w:tc>
          <w:tcPr>
            <w:tcW w:w="64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0"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March 31, 2026</w:t>
            </w:r>
          </w:p>
        </w:tc>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Commercial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Windsor Advantage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383,795</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7,308</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399,311</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22,448</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3,521</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25,969</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1,479</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13,032</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14,511</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3,216,485</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127,206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4,674</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3,368,676</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3,624,207</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135,414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28,535</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3,808,467</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2025</w:t>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Commercial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Windsor Advantage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242,149</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5,377</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255,565</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22,448</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3,521</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25,969</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1,528</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13,243</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14,771</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3,141,201</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132,875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3,852</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3,309,902</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3,407,326</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140,914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25,993</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3,606,207</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March 31, 2025</w:t>
            </w:r>
          </w:p>
        </w:tc>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Commercial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OpenSky™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Windsor Advantage</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280,842</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5,677</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293,987</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24,085</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24,085</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1,698</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13,858</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15,556</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2,885,702</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4,215</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3,016,177</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3,192,327</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119,636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23,750</w:t>
            </w:r>
            <w:r>
              <w:rPr>
                <w:color w:val="000000"/>
              </w:rPr>
              <w:t>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3,349,805</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10 - Interest Income and Interest Expense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components of interest income and interest expense:</w:t>
      </w:r>
    </w:p>
    <w:tbl>
      <w:tblPr>
        <w:tblW w:w="5211" w:type="dxa"/>
        <w:jc w:val="center"/>
        <w:tblInd w:w="0" w:type="dxa"/>
        <w:tblLayout w:type="fixed"/>
        <w:tblCellMar>
          <w:top w:w="28" w:type="dxa"/>
          <w:left w:w="28" w:type="dxa"/>
          <w:bottom w:w="28" w:type="dxa"/>
          <w:right w:w="28" w:type="dxa"/>
        </w:tblCellMar>
      </w:tblPr>
      <w:tblGrid>
        <w:gridCol w:w="873"/>
        <w:gridCol w:w="768"/>
        <w:gridCol w:w="774"/>
        <w:gridCol w:w="109"/>
        <w:gridCol w:w="109"/>
        <w:gridCol w:w="109"/>
        <w:gridCol w:w="211"/>
        <w:gridCol w:w="736"/>
        <w:gridCol w:w="109"/>
        <w:gridCol w:w="109"/>
        <w:gridCol w:w="109"/>
        <w:gridCol w:w="109"/>
        <w:gridCol w:w="211"/>
        <w:gridCol w:w="721"/>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2"/>
              </w:rPr>
            </w:pPr>
            <w:r>
              <w:rPr>
                <w:rFonts w:ascii="Arial;sans-serif" w:hAnsi="Arial;sans-serif"/>
                <w:b w:val="false"/>
                <w:i/>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Taxable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67,793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Non-taxable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67,970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18,070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28650"/>
                <wp:effectExtent l="0" t="0" r="0" b="0"/>
                <wp:wrapNone/>
                <wp:docPr id="38" name="Frame3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429" w:type="dxa"/>
        <w:jc w:val="center"/>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Consolidated Financial Statements</w:t>
            </w:r>
          </w:p>
        </w:tc>
      </w:tr>
      <w:tr>
        <w:trPr/>
        <w:tc>
          <w:tcPr>
            <w:tcW w:w="54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color w:val="000000"/>
                <w:sz w:val="20"/>
              </w:rPr>
            </w:pPr>
            <w:r>
              <w:rPr>
                <w:rFonts w:ascii="Arial;sans-serif" w:hAnsi="Arial;sans-serif"/>
                <w:b/>
                <w:color w:val="000000"/>
                <w:sz w:val="20"/>
              </w:rPr>
              <w:t>Note 11 - Subsequent Events</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April 2026, the Company’s Board of Directors declared a $0.12 per share dividend payable on May 27, 2026 to shareholders of record on May 11,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28650"/>
                <wp:effectExtent l="0" t="0" r="0" b="0"/>
                <wp:wrapNone/>
                <wp:docPr id="39" name="Frame3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pPr>
      <w:r>
        <w:rPr>
          <w:rFonts w:ascii="Arial;sans-serif" w:hAnsi="Arial;sans-serif"/>
          <w:b w:val="false"/>
          <w:color w:val="000000"/>
          <w:sz w:val="20"/>
        </w:rPr>
        <w:t>In this Quarterly Report on Form 10-Q, unless we state otherwise or the context otherwise requires, references to “we,” “our,” “us,” “the Company” and “Capital” refer to Capital Bancorp, Inc. and its wholly owned subsidiaries, Capital Bank, N.A., which we sometimes refer to as “Capital Bank,” “the Bank” or “our Bank,” Church Street Capital, LLC, which we refer to as “Church Street Capital” or “CSC” and Windsor Advantage, LLC</w:t>
      </w:r>
      <w:r>
        <w:rPr>
          <w:color w:val="000000"/>
        </w:rPr>
        <w:t>™</w:t>
      </w:r>
      <w:r>
        <w:rPr>
          <w:rFonts w:ascii="Arial;sans-serif" w:hAnsi="Arial;sans-serif"/>
          <w:b w:val="false"/>
          <w:color w:val="000000"/>
          <w:sz w:val="20"/>
        </w:rPr>
        <w:t>, which we refer to as “Windsor Advantage</w:t>
      </w:r>
      <w:r>
        <w:rPr>
          <w:color w:val="000000"/>
        </w:rPr>
        <w:t>™”</w:t>
      </w:r>
      <w:r>
        <w:rPr>
          <w:rFonts w:ascii="Arial;sans-serif" w:hAnsi="Arial;sans-serif"/>
          <w:b w:val="false"/>
          <w:color w:val="000000"/>
          <w:sz w:val="20"/>
        </w:rPr>
        <w:t xml:space="preserve">.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This Management’s Discussion and Analysis of Financial Condition and Results of Operations (“MD&amp;A”) is intended as a review of significant factors affecting the Company’s financial condition and results of operations for the periods indicated. This discussion and analysis should be read in conjunction with the accompanying unaudited consolidated financial statements and the related notes and the Company’s Annual Report on Form 10-K for the year ended December 31, 2025. The results for the three months ended March 31, 2026 are not necessarily indicative of the results expected for the year ending December 31, 2026.</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PRIVATE SECURITIES LITIGATION REFORM ACT SAFE HARBOR STATEMENT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This Quarterly Report on Form 10-Q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“endeavor,” “plan,” “estimate,” “could,” “project,” “seek,” “should,” “will,” or “would,” or the negative of these words and phrases or similar words and phrases.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These forward-looking statements are subject to risks and uncertainties that could cause actual results, performance or achievements to differ materially from those projected. These risks and uncertainties, some of which are beyond our control, include, but are not limited to:</w:t>
      </w:r>
    </w:p>
    <w:p>
      <w:pPr>
        <w:pStyle w:val="TextBody"/>
        <w:bidi w:val="0"/>
        <w:spacing w:lineRule="auto" w:line="288" w:before="0" w:after="240"/>
        <w:ind w:left="0" w:right="0" w:firstLine="360"/>
        <w:jc w:val="both"/>
        <w:rPr>
          <w:rFonts w:ascii="Arial;sans-serif" w:hAnsi="Arial;sans-serif"/>
          <w:b/>
          <w:color w:val="000000"/>
          <w:sz w:val="20"/>
        </w:rPr>
      </w:pPr>
      <w:r>
        <w:rPr>
          <w:rFonts w:ascii="Arial;sans-serif" w:hAnsi="Arial;sans-serif"/>
          <w:b/>
          <w:color w:val="000000"/>
          <w:sz w:val="20"/>
        </w:rPr>
        <w:t>General Economic, Macro and External Conditions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strength of the United States (“U.S.”) economy and general economic conditions (including the interest rate environment, government economic and monetary policies, the strength of global financial markets, inflation/deflation, and the overall strength of the consumer) that impact the financial services industry as a whole and/or our business;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concentration of our business in certain geographies and the effect of changes in economic, political and environmental conditions in those markets, including proposed reductions in the federal workforce and a decline in federal government spending;</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interest rate risk associated with our business, including sensitivity of our interest earning assets and interest-bearing liabilities to changes in interest rates, and the impact to our earnings from changes in interest rates;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geopolitical conditions, including acts or threats of terrorism, actions taken by the U.S. or other governments in response to acts or threats of terrorism and/or military conflicts, including the ongoing wars in Israel, Iran and Ukraine, which could impact business and economic conditions in the U.S. and abroad;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28650"/>
                <wp:effectExtent l="0" t="0" r="0" b="0"/>
                <wp:wrapNone/>
                <wp:docPr id="40" name="Frame3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climate change, and other catastrophic events or disasters, acts of terrorism, an outbreak of hostilities or other international or domestic calamities, and other matters beyond our control;</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impact of changes in the Federal Deposit Insurance Corporation (“FDIC”) insurance assessment rate or the rules and regulations related to the calculation of the FDIC insurance assessment amount, including any special assessments;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changes in U.S. trade policies, including the implementation of tariffs and other protectionist trade policies;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effects of federal government shutdowns, debt ceiling standoff, or other fiscal policy uncertainty;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volatility in our stock price due to investor sentiment and perception of the banking industry;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impact of governmental efforts to restructure or adjust the U.S. financial regulatory system;</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changes in the laws, rules, regulations, interpretations or policies relating to financial institutions, accounting, tax, trade, monetary and fiscal matters;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financial soundness of other financial institutions;</w:t>
      </w:r>
    </w:p>
    <w:p>
      <w:pPr>
        <w:pStyle w:val="TextBody"/>
        <w:bidi w:val="0"/>
        <w:spacing w:lineRule="auto" w:line="288" w:before="0" w:after="240"/>
        <w:ind w:left="0" w:right="0" w:firstLine="360"/>
        <w:jc w:val="both"/>
        <w:rPr>
          <w:rFonts w:ascii="Arial;sans-serif" w:hAnsi="Arial;sans-serif"/>
          <w:b/>
          <w:color w:val="000000"/>
          <w:sz w:val="20"/>
        </w:rPr>
      </w:pPr>
      <w:r>
        <w:rPr>
          <w:rFonts w:ascii="Arial;sans-serif" w:hAnsi="Arial;sans-serif"/>
          <w:b/>
          <w:color w:val="000000"/>
          <w:sz w:val="20"/>
        </w:rPr>
        <w:t>General Business Operations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prudently manage our growth and execute our strategy;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effect of acquisitions we have undertaken, such as our acquisition of Integrated Financial Holdings, Inc. (“IFH”), including, without limitation, the failure to achieve the expected revenue growth and/or expense savings from such acquisitions, and/or the failure to effectively integrate an acquisition target into our operations, including with regard to the planned growth of Windsor Advantage</w:t>
      </w:r>
      <w:r>
        <w:rPr>
          <w:color w:val="000000"/>
        </w:rPr>
        <w:t>™</w:t>
      </w:r>
      <w:r>
        <w:rPr>
          <w:rFonts w:ascii="Arial;sans-serif" w:hAnsi="Arial;sans-serif"/>
          <w:b w:val="false"/>
          <w:color w:val="000000"/>
          <w:sz w:val="20"/>
        </w:rPr>
        <w:t>;</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strategic acquisitions we may undertake to achieve our goals;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dependence on our management team and board of directors and changes in management and board composition;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increased competition in the financial services industry, particularly from regional and national banks, financial holding companies, and other traditional and non-traditional financial service providers;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plans to grow our commercial real estate and commercial business loan portfolios which may carry material risks of non-payment or other unfavorable consequences;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changes in the mix of loan sectors, or types, and the level of non-performing assets, charge-offs, and delinquencies;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adequacy of reserves, including our allowance for credit losses (“ACL”);</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deterioration of our asset quality;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results of examinations of us by our regulators, including the possibility that our regulators may, among other things, require us to increase our ACL or to write-down assets;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risks associated with our residential mortgage banking business;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risks associated with our OpenSky</w:t>
      </w:r>
      <w:r>
        <w:rPr>
          <w:color w:val="000000"/>
        </w:rPr>
        <w:t xml:space="preserve">™ </w:t>
      </w:r>
      <w:r>
        <w:rPr>
          <w:rFonts w:ascii="Arial;sans-serif" w:hAnsi="Arial;sans-serif"/>
          <w:b w:val="false"/>
          <w:color w:val="000000"/>
          <w:sz w:val="20"/>
        </w:rPr>
        <w:t>credit card division, including compliance with applicable consumer finance and fraud prevention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28650"/>
                <wp:effectExtent l="0" t="0" r="0" b="0"/>
                <wp:wrapNone/>
                <wp:docPr id="41" name="Frame4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changes in Small Business Administration (“SBA”) and U.S. Department of Agriculture (“USDA”) U.S. government guaranteed lending rules, regulations, loan and lease products and funding limits, as well as changes in SBA or USDA standard operating procedures, all of which could impact our ability to originate these types of loans within Capital Bank, N.A. or the servicing, processing and packaging by Windsor Advantage</w:t>
      </w:r>
      <w:r>
        <w:rPr>
          <w:color w:val="000000"/>
        </w:rPr>
        <w:t xml:space="preserve">™ </w:t>
      </w:r>
      <w:r>
        <w:rPr>
          <w:rFonts w:ascii="Arial;sans-serif" w:hAnsi="Arial;sans-serif"/>
          <w:b w:val="false"/>
          <w:color w:val="000000"/>
          <w:sz w:val="20"/>
        </w:rPr>
        <w:t>of such loans on behalf of others;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changes in the value of the collateral securing our loans;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operational risks associated with our business;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adequacy of our risk management framework;</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dependence on our information technology and telecommunications systems, including third party vendors, and the potential for any data privacy incidents or other systems failures, interruptions, or security breaches and risks related to the development and use of artificial intelligence (“AI”);</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develop and use technologies to provide products and services that will satisfy customer demands;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potential exposure to fraud, negligence, computer theft and cyber crime;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sufficiency of our capital, including sources of capital and the extent to which we may be required to raise additional capital to meet our goals;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liquidity and funding risks associated with our business;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maintain important customer deposit relationships and our reputation;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attract, develop, motivate and retain skilled employees;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fluctuations in the fair value of our investment securities;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engagement in derivative transactions;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volatility and direction of market interest rates;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dependence upon outside third parties for the processing and handling of our records and data;</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changes to local rent control laws, which may impact the credit quality of multifamily housing loans;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involvement from time to time in legal proceedings, examinations and remedial actions by regulators;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assess the effect of and incorporate the evolving uses of AI on our business;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effectiveness of the Company’s internal control over financial reporting and disclosure controls and procedures;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remediate the material weakness in the Company’s internal control over financial reporting.</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28650"/>
                <wp:effectExtent l="0" t="0" r="0" b="0"/>
                <wp:wrapNone/>
                <wp:docPr id="42" name="Frame4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business, financial condition, liquidity and/or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the heading “Risk Factors” under Item 1A. in our Annual Report on Form 10-K for the year ended December 31, 2025 and those referenced herein and in other reports on file with the Securities and Exchange Commission (“SEC”).</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 In light of these risks and uncertainties, you should keep in mind that any forward-looking statement made in this report or elsewhere might not reflect actual results and may prove unreliable.</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accounting and reporting policies of the Company are in accordance with accounting principles generally accepted in the United States of America (“GAAP”) and conform to general practices within the banking industry. The Company’s financial position and results of operations are affected by management’s application of accounting policies, including estimates, assumptions, and judgments made to arrive at the carrying value of assets and liabilities and amounts reported for revenues, expenses, and related disclosures. Different assumptions in the application of these policies could result in material changes in the Company’s consolidated financial position and/or results of operations. The Company evaluates its critical accounting estimates and assumptions on an ongoing basis and updates them, as deemed necessary. Management has discussed the Company’s critical accounting policies and estimates with the Audit Committee of the Board of Directors of the Company.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Company’s critical accounting policies and reporting estimates are fundamental to understanding the Company’s consolidated financial position and consolidated results of operations. Accordingly, the Company’s significant accounting policies are discussed in detail in Note 1 “Nature of Business and Basis of Presentation” in the “Notes to the Consolidated Financial Statements” contained in Part II. Item 8 "Financial Statements and Supplementary Data" of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are Capital Bancorp, Inc., a bank holding company and a Maryland corporation incorporated in 1998, operating primarily through our wholly-owned subsidiary, Capital Bank, N.A., a commercial-focused community bank based in the Washington, D.C. and Baltimore metropolitan areas. The Bank is headquartered in Rockville, Maryland, received its charter in 1999 and began operations the same year. We serve businesses, not-for-profit associations, entrepreneurs and others throughout the Washington, D.C., Baltimore, other Maryland markets, Delaware, Florida, Illinois and North Carolina through seven commercial bank branches, one mortgage banking office, three loan production offices, three government loan servicing offices, and one credit card operations office.</w:t>
      </w:r>
    </w:p>
    <w:p>
      <w:pPr>
        <w:pStyle w:val="TextBody"/>
        <w:bidi w:val="0"/>
        <w:spacing w:lineRule="auto" w:line="288" w:before="0" w:after="240"/>
        <w:ind w:left="0" w:right="0" w:firstLine="360"/>
        <w:jc w:val="both"/>
        <w:rPr/>
      </w:pPr>
      <w:r>
        <w:rPr>
          <w:rFonts w:ascii="Arial;sans-serif" w:hAnsi="Arial;sans-serif"/>
          <w:b w:val="false"/>
          <w:color w:val="000000"/>
          <w:sz w:val="20"/>
        </w:rPr>
        <w:t>On October 1, 2024, the Company completed its acquisition of IFH. IFH merged with and into the Company, with the Company continuing as the surviving corporation in the acquisition. Immediately following the acquisition, West Town Bank &amp; Trust, merged with and into Capital Bank, with Capital Bank as the surviving bank. Windsor Advantage</w:t>
      </w:r>
      <w:r>
        <w:rPr>
          <w:color w:val="000000"/>
        </w:rPr>
        <w:t>™</w:t>
      </w:r>
      <w:r>
        <w:rPr>
          <w:rFonts w:ascii="Arial;sans-serif" w:hAnsi="Arial;sans-serif"/>
          <w:b w:val="false"/>
          <w:color w:val="000000"/>
          <w:sz w:val="20"/>
        </w:rPr>
        <w:t>, a wholly-owned subsidiary of the Company, was acquired in connection with the IFH acquisition.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currently operates four divisions and reporting segments: Commercial Banking,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28650"/>
                <wp:effectExtent l="0" t="0" r="0" b="0"/>
                <wp:wrapNone/>
                <wp:docPr id="43" name="Frame4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pPr>
      <w:r>
        <w:rPr>
          <w:rFonts w:ascii="Arial;sans-serif" w:hAnsi="Arial;sans-serif"/>
          <w:b w:val="false"/>
          <w:color w:val="000000"/>
          <w:sz w:val="20"/>
        </w:rPr>
        <w:t>OpenSky</w:t>
      </w:r>
      <w:r>
        <w:rPr>
          <w:color w:val="000000"/>
        </w:rPr>
        <w:t>™</w:t>
      </w:r>
      <w:r>
        <w:rPr>
          <w:rFonts w:ascii="Arial;sans-serif" w:hAnsi="Arial;sans-serif"/>
          <w:b w:val="false"/>
          <w:color w:val="000000"/>
          <w:sz w:val="20"/>
        </w:rPr>
        <w:t>, Windsor Advantage</w:t>
      </w:r>
      <w:r>
        <w:rPr>
          <w:color w:val="000000"/>
        </w:rPr>
        <w:t>™</w:t>
      </w:r>
      <w:r>
        <w:rPr>
          <w:rFonts w:ascii="Arial;sans-serif" w:hAnsi="Arial;sans-serif"/>
          <w:b w:val="false"/>
          <w:color w:val="000000"/>
          <w:sz w:val="20"/>
        </w:rPr>
        <w:t>, and Capital Bank Home Loans (“CBHL”).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GAAP and conform to general practices within the banking industry.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Commercial Banking division primarily operates within a corridor extending from Raleigh, North Carolina to Delaware, with significant activity in the Washington, D.C. and Baltimore metropolitan statistical areas. The Commercial Bank also maintains offices in Chicago, Illinois and Fort Lauderdale, Florida. In addition to providing relationship-driven banking services within its primary geographic markets, the Commercial Bank conducts certain lending and deposit activities on a nationwide basis through specialized verticals. These lending verticals include lender finance, government guaranteed lending and other forms of commercial and industrial (“C&amp;I”) lending. The Commercial Bank also operates national deposit verticals servicing homeowners associations (“HOAs”), title companies, political action committees (“PACs”), not-for-profit organizations, and other commercial clients. </w:t>
      </w:r>
    </w:p>
    <w:p>
      <w:pPr>
        <w:pStyle w:val="TextBody"/>
        <w:bidi w:val="0"/>
        <w:spacing w:lineRule="auto" w:line="288" w:before="0" w:after="240"/>
        <w:ind w:left="0" w:right="0" w:firstLine="360"/>
        <w:jc w:val="both"/>
        <w:rPr/>
      </w:pPr>
      <w:r>
        <w:rPr>
          <w:rFonts w:ascii="Arial;sans-serif" w:hAnsi="Arial;sans-serif"/>
          <w:b w:val="false"/>
          <w:color w:val="000000"/>
          <w:sz w:val="20"/>
        </w:rPr>
        <w:t>OpenSky</w:t>
      </w:r>
      <w:r>
        <w:rPr>
          <w:color w:val="000000"/>
        </w:rPr>
        <w:t xml:space="preserve">™ </w:t>
      </w:r>
      <w:r>
        <w:rPr>
          <w:rFonts w:ascii="Arial;sans-serif" w:hAnsi="Arial;sans-serif"/>
          <w:b w:val="false"/>
          <w:color w:val="000000"/>
          <w:sz w:val="20"/>
        </w:rPr>
        <w:t>and CBHL both leverage Capital Bank’s national banking charter to operate national consumer business lines. OpenSky</w:t>
      </w:r>
      <w:r>
        <w:rPr>
          <w:color w:val="000000"/>
        </w:rPr>
        <w:t xml:space="preserve">™ </w:t>
      </w:r>
      <w:r>
        <w:rPr>
          <w:rFonts w:ascii="Arial;sans-serif" w:hAnsi="Arial;sans-serif"/>
          <w:b w:val="false"/>
          <w:color w:val="000000"/>
          <w:sz w:val="20"/>
        </w:rPr>
        <w:t>provides nationwide, digitally-originated and served, secured, partially-secured, and unsecured credit cards to under-banked populations and those looking to rebuild their credit scores. CBHL acts as our residential mortgage origination platform. Windsor Advantage</w:t>
      </w:r>
      <w:r>
        <w:rPr>
          <w:color w:val="000000"/>
        </w:rPr>
        <w:t xml:space="preserve">™ </w:t>
      </w:r>
      <w:r>
        <w:rPr>
          <w:rFonts w:ascii="Arial;sans-serif" w:hAnsi="Arial;sans-serif"/>
          <w:b w:val="false"/>
          <w:color w:val="000000"/>
          <w:sz w:val="20"/>
        </w:rPr>
        <w:t xml:space="preserve">generates fee revenue for the Company through its servicing, processing and packaging of SBA and USDA loans for its financial institution clients.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addition to its subsidiaries discussed above, Capital Bancorp, Inc. owns all of the stock of Capital Bancorp (MD) Statutory Trust I (the “Trust”). The Trust is a special purpose, non-consolidated entity organized for the sole purpose of issuing trust preferred securities.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Capital</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2026, the Company and the Bank were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relative to our earnings in order to remain in compliance with all regulatory capital standards applicable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Results of Operations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This report contains non-GAAP financial measures denoted throughout our MD&amp;A by reference to “non-GAAP.” We believe these non-GAAP financial measures provide useful information to investors because they are used by management to evaluate our operating performance and to make day-to-day operating decisions. In addition, we believe our non-GAAP results in any given reporting period reflect our on-going financial performance in that period and, accordingly, are useful to consider in addition to our GAAP financial results. We further believe the presentation of non-GAAP results increases comparability of period-to-period results.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Other companies may use similarly titled non-GAAP financial measures that may be calculated differently from the way we calculate such measures. Accordingly, our non-GAAP financial measures may not be comparable to similar measures used by such companies. We caution investors not to place undue reliance on such non-GAAP financial measures, but to consider them with the most directly comparable GAAP measures. Non-GAAP financial measures have limitations as analytical tools and should not be considered in isolation or as a substitute for our results reported under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28650"/>
                <wp:effectExtent l="0" t="0" r="0" b="0"/>
                <wp:wrapNone/>
                <wp:docPr id="44" name="Frame4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more information on the computation of non-GAAP financial measures, see “Non-GAAP Financial Measures and Reconciliations.”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Net Income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sets forth the principal components of net income for the periods indicated.</w:t>
      </w:r>
    </w:p>
    <w:tbl>
      <w:tblPr>
        <w:tblW w:w="8434" w:type="dxa"/>
        <w:jc w:val="center"/>
        <w:tblInd w:w="0" w:type="dxa"/>
        <w:tblLayout w:type="fixed"/>
        <w:tblCellMar>
          <w:top w:w="28" w:type="dxa"/>
          <w:left w:w="28" w:type="dxa"/>
          <w:bottom w:w="28" w:type="dxa"/>
          <w:right w:w="28" w:type="dxa"/>
        </w:tblCellMar>
      </w:tblPr>
      <w:tblGrid>
        <w:gridCol w:w="1635"/>
        <w:gridCol w:w="1442"/>
        <w:gridCol w:w="1452"/>
        <w:gridCol w:w="211"/>
        <w:gridCol w:w="736"/>
        <w:gridCol w:w="109"/>
        <w:gridCol w:w="109"/>
        <w:gridCol w:w="109"/>
        <w:gridCol w:w="109"/>
        <w:gridCol w:w="211"/>
        <w:gridCol w:w="721"/>
        <w:gridCol w:w="109"/>
        <w:gridCol w:w="109"/>
        <w:gridCol w:w="109"/>
        <w:gridCol w:w="109"/>
        <w:gridCol w:w="291"/>
        <w:gridCol w:w="294"/>
        <w:gridCol w:w="569"/>
      </w:tblGrid>
      <w:tr>
        <w:trPr/>
        <w:tc>
          <w:tcPr>
            <w:tcW w:w="163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2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67,970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interest income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49,398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 on unfunded commitments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interest income after provision for credit losses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46,179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43,681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before income taxes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Net income for the three months ended March 31, 2026 was $12.0 million, compared to net income of $13.9 million for the same period in 2025, a 13.7% decrease. There were no non-GAAP adjustments to net income of $12.0 million for three months ended March 31, 2026, a $3.0 million decrease from net income, as adjusted (non-GAAP) of $14.9 million for the three months ended March 31, 2025. For more information on the computation of non-GAAP financial measures, see “Non-GAAP Financial Measures and Reconciliations.”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Net interest income increased by $3.4 million, or 7.3%, to $49.4 million when comparing the three months ended March 31, 2026 to the three months ended March 31, 2025, primarily driven by increased interest income of $4.6 million from the Commercial Bank due to strong balance sheet growth offset by $0.9 million of lower purchase accounting accretion (“PAA”). </w:t>
      </w:r>
    </w:p>
    <w:p>
      <w:pPr>
        <w:pStyle w:val="TextBody"/>
        <w:bidi w:val="0"/>
        <w:spacing w:lineRule="auto" w:line="288" w:before="0" w:after="240"/>
        <w:ind w:left="0" w:right="0" w:firstLine="360"/>
        <w:jc w:val="both"/>
        <w:rPr/>
      </w:pPr>
      <w:r>
        <w:rPr>
          <w:rFonts w:ascii="Arial;sans-serif" w:hAnsi="Arial;sans-serif"/>
          <w:b w:val="false"/>
          <w:color w:val="000000"/>
          <w:sz w:val="20"/>
        </w:rPr>
        <w:t>The provision for credit losses for the three months ended March 31, 2026 was $3.0 million, an increase of $0.8 million from the same period in 2025. Net charge-offs for the three months ended March 31, 2026 were $3.0 million, or 0.40% on an annualized basis of average portfolio loans, compared to $2.4 million, or 0.38% on an annualized basis of average portfolio loans for the same period in 2025. Net charge-offs during the quarter included $3.1 million from OpenSky</w:t>
      </w:r>
      <w:r>
        <w:rPr>
          <w:color w:val="000000"/>
        </w:rPr>
        <w:t xml:space="preserve">™ </w:t>
      </w:r>
      <w:r>
        <w:rPr>
          <w:rFonts w:ascii="Arial;sans-serif" w:hAnsi="Arial;sans-serif"/>
          <w:b w:val="false"/>
          <w:color w:val="000000"/>
          <w:sz w:val="20"/>
        </w:rPr>
        <w:t>loans slightly offset by a net recovery of $0.1 million from Commercial Bank loans. OpenSky</w:t>
      </w:r>
      <w:r>
        <w:rPr>
          <w:color w:val="000000"/>
        </w:rPr>
        <w:t xml:space="preserve">™ </w:t>
      </w:r>
      <w:r>
        <w:rPr>
          <w:rFonts w:ascii="Arial;sans-serif" w:hAnsi="Arial;sans-serif"/>
          <w:b w:val="false"/>
          <w:color w:val="000000"/>
          <w:sz w:val="20"/>
        </w:rPr>
        <w:t xml:space="preserve">net charge-offs totaled $3.1 million including $2.3 million related to unsecured credit cards and $0.8 million related to secured and partially secured credit cards.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March 31, 2026, noninterest income of $13.4 million increased $0.8 million, or 6.6%, from the same period in 2025, primarily due to a $0.8 million increase from government loan servicing and packaging revenue. Credit card fees of $4.7 million for the three months ended March 31, 2026 increased $1.0 million compared to the same period in the prior year primarily due to growth in unsecured product. For the three months ended March 31, 2026, mortgage banking revenue of $1.6 million decreased $0.3 million primarily due to a $0.2 million decrease in gain on sale.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Noninterest expense was $43.7 million for the three months ended March 31, 2026, an increase of $5.6 million from the same period in 2025. The change was primarily driven by increases in professional fees of $2.9 million, salaries and employee benefits expenses of $2.3 million, data processing expense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28650"/>
                <wp:effectExtent l="0" t="0" r="0" b="0"/>
                <wp:wrapNone/>
                <wp:docPr id="45" name="Frame4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$0.7 million, occupancy and equipment expenses of $0.7 million, and loan processing expenses of $0.6 million, offset by decreases in merger-related expenses of $1.3 million and operating losses of $0.2 million. </w:t>
      </w:r>
    </w:p>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Net Interest Income and Net Margin Analysis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Net interest income is our largest component of revenue and the largest driver of net income. Net interest income is the difference between interest income on earning assets and the cost of funds supporting those assets.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analyze our ability to maximize income generated from interest earning assets and control the interest expenses associated with our liabilities, measured as net interest income, through our net interest margin and net interest spread. Net interest margin is a ratio calculated as net interest income annualized divided by average interest earning assets for the same period. Net interest spread is the difference between average interest rates earned on interest earning assets and average interest rates paid on interest-bearing liabilities.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the average balances and weighted average rates of the major categories of the Company’s assets, liabilities and stockholders’ equity for the three months ended March 31, 2026 and 2025. Weighted average yields are derived by dividing annualized income by the average balance of the related assets, and weighted average rates are derived by dividing annualized expense by the average balance of the related liabilities, for the periods shown. Average outstanding balances are derived by utilizing average daily balances for the time periods shown. The weighted average yields and rates include amortization of fees, costs, premiums and discounts, which are considered adjustments to yield/rates. Weighted average yields on tax-exempt securities are not calculated on a fully taxable equivalent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28650"/>
                <wp:effectExtent l="0" t="0" r="0" b="0"/>
                <wp:wrapNone/>
                <wp:docPr id="46" name="Frame4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AVERAGE BALANCE SHEET AND NET INTEREST ANALYSIS</w:t>
      </w:r>
    </w:p>
    <w:tbl>
      <w:tblPr>
        <w:tblW w:w="10205" w:type="dxa"/>
        <w:jc w:val="left"/>
        <w:tblInd w:w="0" w:type="dxa"/>
        <w:tblLayout w:type="fixed"/>
        <w:tblCellMar>
          <w:top w:w="28" w:type="dxa"/>
          <w:left w:w="28" w:type="dxa"/>
          <w:bottom w:w="28" w:type="dxa"/>
          <w:right w:w="28" w:type="dxa"/>
        </w:tblCellMar>
      </w:tblPr>
      <w:tblGrid>
        <w:gridCol w:w="958"/>
        <w:gridCol w:w="639"/>
        <w:gridCol w:w="473"/>
        <w:gridCol w:w="196"/>
        <w:gridCol w:w="886"/>
        <w:gridCol w:w="109"/>
        <w:gridCol w:w="109"/>
        <w:gridCol w:w="109"/>
        <w:gridCol w:w="109"/>
        <w:gridCol w:w="229"/>
        <w:gridCol w:w="774"/>
        <w:gridCol w:w="127"/>
        <w:gridCol w:w="109"/>
        <w:gridCol w:w="109"/>
        <w:gridCol w:w="109"/>
        <w:gridCol w:w="240"/>
        <w:gridCol w:w="241"/>
        <w:gridCol w:w="415"/>
        <w:gridCol w:w="109"/>
        <w:gridCol w:w="109"/>
        <w:gridCol w:w="109"/>
        <w:gridCol w:w="196"/>
        <w:gridCol w:w="871"/>
        <w:gridCol w:w="109"/>
        <w:gridCol w:w="109"/>
        <w:gridCol w:w="109"/>
        <w:gridCol w:w="109"/>
        <w:gridCol w:w="224"/>
        <w:gridCol w:w="740"/>
        <w:gridCol w:w="124"/>
        <w:gridCol w:w="109"/>
        <w:gridCol w:w="109"/>
        <w:gridCol w:w="109"/>
        <w:gridCol w:w="278"/>
        <w:gridCol w:w="278"/>
        <w:gridCol w:w="463"/>
      </w:tblGrid>
      <w:tr>
        <w:trPr/>
        <w:tc>
          <w:tcPr>
            <w:tcW w:w="95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 xml:space="preserve">Outstanding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Interest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Average </w:t>
              <w:br/>
              <w:t xml:space="preserve">Yield/ </w:t>
              <w:br/>
              <w:t>Rate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Average </w:t>
              <w:br/>
              <w:t xml:space="preserve">Outstanding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Interest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Average </w:t>
              <w:br/>
              <w:t xml:space="preserve">Yield/ </w:t>
              <w:br/>
              <w:t>Rate</w:t>
            </w:r>
            <w:r>
              <w:rPr>
                <w:rFonts w:ascii="Arial;sans-serif" w:hAnsi="Arial;sans-serif"/>
                <w:b w:val="false"/>
                <w:color w:val="000000"/>
                <w:sz w:val="10"/>
              </w:rPr>
              <w:t>(1)</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in thousands)</w:t>
            </w:r>
          </w:p>
        </w:tc>
        <w:tc>
          <w:tcPr>
            <w:tcW w:w="813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earning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246,346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2,200</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Federal funds sold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6.76</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6.99 </w:t>
            </w:r>
          </w:p>
        </w:tc>
        <w:tc>
          <w:tcPr>
            <w:tcW w:w="4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233,165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1,459</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2.54</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5.96</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Loans held for sale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5.56</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10.32 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Portfolio loans receivable</w:t>
            </w:r>
            <w:r>
              <w:rPr>
                <w:rFonts w:ascii="Arial;sans-serif" w:hAnsi="Arial;sans-serif"/>
                <w:b w:val="false"/>
                <w:color w:val="000000"/>
                <w:sz w:val="10"/>
              </w:rPr>
              <w:t>(2)(3)</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3,008,187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64,009</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8.63</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2,634,110 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interest earning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3,509,115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67,970</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7.86</w:t>
            </w:r>
            <w:r>
              <w:rPr>
                <w:color w:val="000000"/>
              </w:rPr>
              <w:t>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3,087,943 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62,760 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earning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142,697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3,651,812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3,221,964 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Liabilities and 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demand accounts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263,645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414</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0.64</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0.62 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Savings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0.89</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0.55 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Money market accounts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1,189,642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9,479</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3.23</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Time deposits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842,137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8,147</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3.92</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Borrowed funds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52,062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502</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3.91</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4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2,361,187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18,572</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w:t>
            </w:r>
            <w:r>
              <w:rPr>
                <w:color w:val="000000"/>
              </w:rPr>
              <w:t>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2,019,328 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64,056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821,267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Stockholders’ equity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405,302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3,651,812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3,221,964 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spread</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4.67</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49,398</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interest margin</w:t>
            </w:r>
            <w:r>
              <w:rPr>
                <w:rFonts w:ascii="Arial;sans-serif" w:hAnsi="Arial;sans-serif"/>
                <w:b w:val="false"/>
                <w:color w:val="000000"/>
                <w:sz w:val="10"/>
              </w:rPr>
              <w:t>(4)</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5.71</w:t>
            </w:r>
            <w:r>
              <w:rPr>
                <w:color w:val="000000"/>
              </w:rPr>
              <w:t> </w:t>
            </w:r>
          </w:p>
        </w:tc>
        <w:tc>
          <w:tcPr>
            <w:tcW w:w="4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4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Times New Roman;serif" w:hAnsi="Times New Roman;serif"/>
          <w:b w:val="false"/>
          <w:color w:val="000000"/>
          <w:sz w:val="8"/>
        </w:rPr>
        <w:t>(1)</w:t>
      </w:r>
      <w:r>
        <w:rPr>
          <w:rFonts w:ascii="Arial;sans-serif" w:hAnsi="Arial;sans-serif"/>
          <w:b w:val="false"/>
          <w:color w:val="000000"/>
          <w:sz w:val="12"/>
        </w:rPr>
        <w:t>Annualized.</w:t>
      </w:r>
    </w:p>
    <w:p>
      <w:pPr>
        <w:pStyle w:val="TextBody"/>
        <w:bidi w:val="0"/>
        <w:spacing w:lineRule="auto" w:line="288" w:before="0" w:after="0"/>
        <w:ind w:left="0" w:right="0" w:hanging="360"/>
        <w:jc w:val="both"/>
        <w:rPr/>
      </w:pPr>
      <w:r>
        <w:rPr>
          <w:rFonts w:ascii="Times New Roman;serif" w:hAnsi="Times New Roman;serif"/>
          <w:b w:val="false"/>
          <w:color w:val="000000"/>
          <w:sz w:val="8"/>
        </w:rPr>
        <w:t>(2)</w:t>
      </w:r>
      <w:r>
        <w:rPr>
          <w:rFonts w:ascii="Arial;sans-serif" w:hAnsi="Arial;sans-serif"/>
          <w:b w:val="false"/>
          <w:color w:val="000000"/>
          <w:sz w:val="12"/>
        </w:rPr>
        <w:t>Portfolio loans receivable balance includes nonaccrual loans.</w:t>
      </w:r>
    </w:p>
    <w:p>
      <w:pPr>
        <w:pStyle w:val="TextBody"/>
        <w:bidi w:val="0"/>
        <w:spacing w:lineRule="auto" w:line="288" w:before="0" w:after="0"/>
        <w:ind w:left="0" w:right="0" w:hanging="360"/>
        <w:jc w:val="both"/>
        <w:rPr/>
      </w:pPr>
      <w:r>
        <w:rPr>
          <w:rFonts w:ascii="Arial;sans-serif" w:hAnsi="Arial;sans-serif"/>
          <w:b w:val="false"/>
          <w:color w:val="000000"/>
          <w:sz w:val="8"/>
        </w:rPr>
        <w:t>(3)</w:t>
      </w:r>
      <w:r>
        <w:rPr>
          <w:rFonts w:ascii="Arial;sans-serif" w:hAnsi="Arial;sans-serif"/>
          <w:b w:val="false"/>
          <w:color w:val="000000"/>
          <w:sz w:val="12"/>
        </w:rPr>
        <w:t>For the three months ended March 31, 2026 and 2025, collectively, Core Loan Yield was 6.93% and 7.14%, respectively. See “Non-GAAP Financial Measures and Reconciliations” for a reconciliation of non-GAAP measures.</w:t>
      </w:r>
    </w:p>
    <w:p>
      <w:pPr>
        <w:pStyle w:val="TextBody"/>
        <w:bidi w:val="0"/>
        <w:spacing w:lineRule="auto" w:line="288" w:before="0" w:after="0"/>
        <w:ind w:left="0" w:right="0" w:hanging="360"/>
        <w:jc w:val="both"/>
        <w:rPr/>
      </w:pPr>
      <w:r>
        <w:rPr>
          <w:rFonts w:ascii="Arial;sans-serif" w:hAnsi="Arial;sans-serif"/>
          <w:b w:val="false"/>
          <w:color w:val="000000"/>
          <w:sz w:val="8"/>
        </w:rPr>
        <w:t>(4)</w:t>
      </w:r>
      <w:r>
        <w:rPr>
          <w:rFonts w:ascii="Arial;sans-serif" w:hAnsi="Arial;sans-serif"/>
          <w:b w:val="false"/>
          <w:color w:val="000000"/>
          <w:sz w:val="12"/>
        </w:rPr>
        <w:t>For the three months ended March 31, 2026 and 2025, collectively, Core Net Interest Margin was 4.15% and 4.36%, respectively. See “Non-GAAP Financial Measures and Reconciliations” for a reconciliation of non-GAAP measures.</w:t>
      </w:r>
    </w:p>
    <w:p>
      <w:pPr>
        <w:pStyle w:val="TextBody"/>
        <w:bidi w:val="0"/>
        <w:spacing w:before="0" w:after="0"/>
        <w:jc w:val="left"/>
        <w:rPr/>
      </w:pPr>
      <w:r>
        <w:rPr/>
      </w:r>
    </w:p>
    <w:p>
      <w:pPr>
        <w:pStyle w:val="TextBody"/>
        <w:bidi w:val="0"/>
        <w:spacing w:lineRule="auto" w:line="312"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net interest margin decreased 34 basis points to 5.71% for the three months ended March 31, 2026 from the same period in 2025. Core net interest margin (non-GAAP) decreased to 4.15% for the three months ended March 31, 2026, compared to 4.36% for the same period in 2025. For more information on the computation of non-GAAP financial measures, see “Non-GAAP Financial Measures and Reconciliations.”</w:t>
      </w:r>
    </w:p>
    <w:p>
      <w:pPr>
        <w:pStyle w:val="TextBody"/>
        <w:bidi w:val="0"/>
        <w:spacing w:lineRule="auto" w:line="288" w:before="0" w:after="240"/>
        <w:ind w:left="0" w:right="0" w:firstLine="360"/>
        <w:jc w:val="both"/>
        <w:rPr/>
      </w:pPr>
      <w:r>
        <w:rPr>
          <w:rFonts w:ascii="Arial;sans-serif" w:hAnsi="Arial;sans-serif"/>
          <w:b w:val="false"/>
          <w:color w:val="000000"/>
          <w:sz w:val="20"/>
        </w:rPr>
        <w:t>For the three months ended March 31, 2026, average interest earning assets increased $421.2 million, or 13.6%, to $3.5 billion as compared to the same period in 2025, but the average yield on interest earning assets decreased to 7.86%, a 38 basis point decrease from 8.24% for the comparable 2025 period primarily due to changes in the rate environment, particularly impacting OpenSky</w:t>
      </w:r>
      <w:r>
        <w:rPr>
          <w:color w:val="000000"/>
        </w:rPr>
        <w:t xml:space="preserve">™ </w:t>
      </w:r>
      <w:r>
        <w:rPr>
          <w:rFonts w:ascii="Arial;sans-serif" w:hAnsi="Arial;sans-serif"/>
          <w:b w:val="false"/>
          <w:color w:val="000000"/>
          <w:sz w:val="20"/>
        </w:rPr>
        <w:t xml:space="preserve">products. Compared to the same period in the prior year, average interest-bearing liabilities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28650"/>
                <wp:effectExtent l="0" t="0" r="0" b="0"/>
                <wp:wrapNone/>
                <wp:docPr id="47" name="Frame4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$341.9 million, or 16.9%, and the average cost of interest-bearing liabilities decreased to 3.19%, a 17 basis point decrease from 3.36%, primarily as a result of a shift in the product mix of the portfolio as well as changes in the rate environment.</w:t>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rate/volume table below presents the composition of the change in net interest income for the periods indicated, as allocated between the change in net interest income due to changes in the volume of average earning assets and interest-bearing liabilities, and the changes in net interest income due to changes in interest rates. </w:t>
      </w:r>
    </w:p>
    <w:p>
      <w:pPr>
        <w:pStyle w:val="TextBody"/>
        <w:bidi w:val="0"/>
        <w:spacing w:before="0" w:after="240"/>
        <w:ind w:left="0" w:right="0" w:firstLine="360"/>
        <w:jc w:val="both"/>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RATE/VOLUME ANALYSIS OF NET INTEREST INCOME</w:t>
      </w:r>
    </w:p>
    <w:tbl>
      <w:tblPr>
        <w:tblW w:w="8661" w:type="dxa"/>
        <w:jc w:val="center"/>
        <w:tblInd w:w="0" w:type="dxa"/>
        <w:tblLayout w:type="fixed"/>
        <w:tblCellMar>
          <w:top w:w="28" w:type="dxa"/>
          <w:left w:w="28" w:type="dxa"/>
          <w:bottom w:w="28" w:type="dxa"/>
          <w:right w:w="28" w:type="dxa"/>
        </w:tblCellMar>
      </w:tblPr>
      <w:tblGrid>
        <w:gridCol w:w="1418"/>
        <w:gridCol w:w="1252"/>
        <w:gridCol w:w="1260"/>
        <w:gridCol w:w="196"/>
        <w:gridCol w:w="556"/>
        <w:gridCol w:w="109"/>
        <w:gridCol w:w="109"/>
        <w:gridCol w:w="109"/>
        <w:gridCol w:w="109"/>
        <w:gridCol w:w="196"/>
        <w:gridCol w:w="631"/>
        <w:gridCol w:w="109"/>
        <w:gridCol w:w="109"/>
        <w:gridCol w:w="109"/>
        <w:gridCol w:w="109"/>
        <w:gridCol w:w="324"/>
        <w:gridCol w:w="920"/>
        <w:gridCol w:w="180"/>
        <w:gridCol w:w="109"/>
        <w:gridCol w:w="109"/>
        <w:gridCol w:w="109"/>
        <w:gridCol w:w="109"/>
        <w:gridCol w:w="109"/>
        <w:gridCol w:w="311"/>
      </w:tblGrid>
      <w:tr>
        <w:trPr/>
        <w:tc>
          <w:tcPr>
            <w:tcW w:w="141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gridSpan w:val="4"/>
            <w:tcBorders/>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15"/>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Compared to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gridSpan w:val="4"/>
            <w:tcBorders/>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gridSpan w:val="4"/>
            <w:tcBorders/>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Change Due To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Interest 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2"/>
            <w:tcBorders/>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Interest Income:</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Federal funds sold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Loans held for sale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 excluding credit card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interest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Interest Expense: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Interest-bearing demand accounts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Savings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Money market accounts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Time deposits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Borrowed funds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interest expense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
              <w:jc w:val="left"/>
              <w:rPr>
                <w:rFonts w:ascii="Arial;sans-serif" w:hAnsi="Arial;sans-serif"/>
                <w:b/>
                <w:color w:val="000000"/>
                <w:sz w:val="16"/>
              </w:rPr>
            </w:pPr>
            <w:r>
              <w:rPr>
                <w:rFonts w:ascii="Arial;sans-serif" w:hAnsi="Arial;sans-serif"/>
                <w:b/>
                <w:color w:val="000000"/>
                <w:sz w:val="16"/>
              </w:rPr>
              <w:t>Net interest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When comparing the three months ended March 31, 2026 to the three months ended March 31, 2025, the largest positive impact to total interest income was the growth in interest earning assets, from organic growth. Growth (change due to volume) in the loan portfolio, excluding credit card loans, contributed $6.1 million to the increase in interest income. The $1.9 million increase in interest expense year over year was primarily driven by a $0.9 million lower benefit from net PAA, $0.7 million from a shift in deposit mix and $0.3 million of higher borrowing costs.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Provision for Credit Losses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provision for credit losses represents the amount of expense charged to current earnings to fund the ACL. For a description of the factors taken into account by our management in determining the ACL, see Note 1 “Nature of Business and Basis of Presentation” in the “Notes to the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28650"/>
                <wp:effectExtent l="0" t="0" r="0" b="0"/>
                <wp:wrapNone/>
                <wp:docPr id="48" name="Frame4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Statements” contained in Item 8 “Financial Statements and Supplementary Data” of the Company’s Annual Report on Form 10-K for the year ended December 31, 2025.</w:t>
      </w:r>
    </w:p>
    <w:p>
      <w:pPr>
        <w:pStyle w:val="TextBody"/>
        <w:bidi w:val="0"/>
        <w:spacing w:lineRule="auto" w:line="288" w:before="0" w:after="240"/>
        <w:ind w:left="0" w:right="0" w:firstLine="360"/>
        <w:jc w:val="both"/>
        <w:rPr/>
      </w:pPr>
      <w:r>
        <w:rPr>
          <w:rFonts w:ascii="Arial;sans-serif" w:hAnsi="Arial;sans-serif"/>
          <w:b w:val="false"/>
          <w:color w:val="000000"/>
          <w:sz w:val="20"/>
        </w:rPr>
        <w:t>For the three months ended March 31, 2026, the provision for credit losses was $3.0 million, an increase of $0.8 million from the same period in 2025. The increased provision for credit losses was primarily driven by increases of $1.2 million for C&amp;I loans, $0.8 million for residential real estate loans, and $0.8 million for OpenSky™, offset slightly by $1.8 million of decreases for commercial real estate loans. The C&amp;I and residential real estate loan portfolios grew 22.9% and 14.7%, respectively, from March 31, 2025, resulting in an increase to the reserve. The provision from OpenSky™ increased $0.8 million, primarily driven by higher volumes in the unsecured portfolio - as unsecured card balances increased $19.9 million from $26.7 million, or 22% of the credit card portfolio at March 31, 2025 to $46.6 million, or 34% of the credit card portfolio at March 31, 2026. Additionally, net charge-offs for OpenSky™ increased $0.8 million compared to the three months ended March 31, 2025. The $1.8 million decrease to the provision for commercial real estate was largely attributable to the run-off of PCD loans in the loan portfolio, resulting in a lower reserve requirement than in 2025. Net charge-offs for the three months ended March 31, 2026 were $3.0 million, or 0.40% on an annualized basis of average portfolio loans, compared to $2.4 million, or 0.38% on an annualized basis of average portfolio loans for the same period in 2025. Of the $3.0 million in net charge-offs during the quarter, there was a net recovery of $0.1 million from Commercial Bank loans, driven by commercial and industrial loans, and OpenSky</w:t>
      </w:r>
      <w:r>
        <w:rPr>
          <w:color w:val="000000"/>
        </w:rPr>
        <w:t xml:space="preserve">™ </w:t>
      </w:r>
      <w:r>
        <w:rPr>
          <w:rFonts w:ascii="Arial;sans-serif" w:hAnsi="Arial;sans-serif"/>
          <w:b w:val="false"/>
          <w:color w:val="000000"/>
          <w:sz w:val="20"/>
        </w:rPr>
        <w:t>net charge-offs totaled $3.1 million including $2.3 million related to unsecured credit cards and $0.8 million related to secured and partially secured credit cards.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ACL as a percent of portfolio loans was 1.81% at March 31, 2026, as compared to 1.85% at December 31, 2025. The maintenance of a high-quality loan portfolio, with an adequate allowance for expected credit losses, will continue to be a primary objective for the Company. See additional discussion regarding the Company’s ACL and reserve for unfunded commitments credit exposures at March 31, 2026 in “Financial Condition - Allowance for Credit Losses.”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Noninterest Income</w:t>
      </w:r>
    </w:p>
    <w:p>
      <w:pPr>
        <w:pStyle w:val="TextBody"/>
        <w:bidi w:val="0"/>
        <w:spacing w:lineRule="auto" w:line="288" w:before="0" w:after="240"/>
        <w:ind w:left="0" w:right="0" w:firstLine="360"/>
        <w:jc w:val="both"/>
        <w:rPr/>
      </w:pPr>
      <w:r>
        <w:rPr>
          <w:rFonts w:ascii="Arial;sans-serif" w:hAnsi="Arial;sans-serif"/>
          <w:b w:val="false"/>
          <w:color w:val="000000"/>
          <w:sz w:val="20"/>
        </w:rPr>
        <w:t>Our primary source of recurring noninterest income are credit card fees, such as interchange fees and statement fees, government guaranteed lending revenue (gain on sale), mortgage banking revenue and Windsor Advantage</w:t>
      </w:r>
      <w:r>
        <w:rPr>
          <w:color w:val="000000"/>
        </w:rPr>
        <w:t xml:space="preserve">™ </w:t>
      </w:r>
      <w:r>
        <w:rPr>
          <w:rFonts w:ascii="Arial;sans-serif" w:hAnsi="Arial;sans-serif"/>
          <w:b w:val="false"/>
          <w:color w:val="000000"/>
          <w:sz w:val="20"/>
        </w:rPr>
        <w:t>fee revenue in connection with its servicing, processing and packaging of SBA and USDA loans for its financial institution clients,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28650"/>
                <wp:effectExtent l="0" t="0" r="0" b="0"/>
                <wp:wrapNone/>
                <wp:docPr id="49" name="Frame4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for the periods indicated, the major categories of noninterest income:</w:t>
      </w:r>
    </w:p>
    <w:tbl>
      <w:tblPr>
        <w:tblW w:w="8832" w:type="dxa"/>
        <w:jc w:val="center"/>
        <w:tblInd w:w="0" w:type="dxa"/>
        <w:tblLayout w:type="fixed"/>
        <w:tblCellMar>
          <w:top w:w="28" w:type="dxa"/>
          <w:left w:w="28" w:type="dxa"/>
          <w:bottom w:w="28" w:type="dxa"/>
          <w:right w:w="28" w:type="dxa"/>
        </w:tblCellMar>
      </w:tblPr>
      <w:tblGrid>
        <w:gridCol w:w="1549"/>
        <w:gridCol w:w="1364"/>
        <w:gridCol w:w="1376"/>
        <w:gridCol w:w="211"/>
        <w:gridCol w:w="736"/>
        <w:gridCol w:w="109"/>
        <w:gridCol w:w="109"/>
        <w:gridCol w:w="109"/>
        <w:gridCol w:w="109"/>
        <w:gridCol w:w="211"/>
        <w:gridCol w:w="721"/>
        <w:gridCol w:w="109"/>
        <w:gridCol w:w="109"/>
        <w:gridCol w:w="109"/>
        <w:gridCol w:w="109"/>
        <w:gridCol w:w="291"/>
        <w:gridCol w:w="294"/>
        <w:gridCol w:w="508"/>
        <w:gridCol w:w="109"/>
        <w:gridCol w:w="109"/>
        <w:gridCol w:w="109"/>
        <w:gridCol w:w="109"/>
        <w:gridCol w:w="109"/>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2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charges on deposit accounts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 card fees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banking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Government lending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Government loan servicing and packaging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servicing rights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pPr>
      <w:r>
        <w:rPr>
          <w:rFonts w:ascii="Arial;sans-serif" w:hAnsi="Arial;sans-serif"/>
          <w:b w:val="false"/>
          <w:color w:val="000000"/>
          <w:sz w:val="20"/>
        </w:rPr>
        <w:t>For the three months ended March 31, 2026, noninterest income of $13.4 million increased $0.8 million, or 6.6%, from the same period in 2025. The increase was primarily driven by $1.0 million of increased credit card fees and $0.8 million of increased government loan servicing and packaging revenue (Windsor Advantage</w:t>
      </w:r>
      <w:r>
        <w:rPr>
          <w:color w:val="000000"/>
        </w:rPr>
        <w:t>™</w:t>
      </w:r>
      <w:r>
        <w:rPr>
          <w:rFonts w:ascii="Arial;sans-serif" w:hAnsi="Arial;sans-serif"/>
          <w:b w:val="false"/>
          <w:color w:val="000000"/>
          <w:sz w:val="20"/>
        </w:rPr>
        <w:t>), offset by a $0.6 million decrease in other income.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Credit card fees of $4.7 million for the three months ended March 31, 2026 increased $1.0 million as compared to the three months ended March 31, 2025, primarily as a result of credit-card related fees associated with the unsecured product.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Originations of loans held for sale within the Bank’s CBHL division increased $7.1 million to $72.9 million in the first quarter of 2026 when compared to $65.8 million in the first quarter of 2025. The gain on sale margin decreased to 2.85% for the three months ended March 31, 2026 from 3.07% for the three months ended March 31, 2025.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Mortgage banking revenue of $1.6 million decreased $0.3 million from the three months ended March 31, 2025, primarily driven by the decreased gain on sale of $0.2 million.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Government lending revenue of $0.9 million for the three months ended March 31, 2026 decreased $0.2 million as compared to the three months ended March 31, 2025, primarily as a result of significant budget cuts within the USDA and changes to investment tax credits for commercial solar loans that began to take effect in 2025 and resulted in decreased volumes for government guaranteed loans. However, the reduced volume was slightly offset by increased SBA loan sales generated by a new team.</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Mortgage loans sold are subject to repurchase in circumstances where documentation is deficient or the underlying loan becomes delinquent or pays off within a specified period following loan funding and sale. The Bank has established a reserve under GAAP for possible repurchases. The reserve was $2.4 million at March 31, 2026 and $2.3 million at December 31, 2025, respectively. The Bank did not repurchase any loans during the three months ended March 31, 2026 or 2025. The Bank does not originate “sub-prime” mortgage loans and has no exposure to this market segment.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Noninterest Expense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Generally, noninterest expense is comprised of all employee expenses and costs associated with operating our facilities, obtaining and retaining customer relationships and providing bank services, with the largest component being salaries and employee benefits expenses. Noninterest expense also includes operational expenses, such as occupancy and equipment expenses, professional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28650"/>
                <wp:effectExtent l="0" t="0" r="0" b="0"/>
                <wp:wrapNone/>
                <wp:docPr id="50" name="Frame4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advertising expenses, loan processing expenses and other general and administrative expenses, including FDIC assessments, communications, travel, meals, training, supplies and postage.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for the periods indicated, the major categories of noninterest expense:</w:t>
      </w:r>
    </w:p>
    <w:tbl>
      <w:tblPr>
        <w:tblW w:w="8944" w:type="dxa"/>
        <w:jc w:val="center"/>
        <w:tblInd w:w="0" w:type="dxa"/>
        <w:tblLayout w:type="fixed"/>
        <w:tblCellMar>
          <w:top w:w="28" w:type="dxa"/>
          <w:left w:w="28" w:type="dxa"/>
          <w:bottom w:w="28" w:type="dxa"/>
          <w:right w:w="28" w:type="dxa"/>
        </w:tblCellMar>
      </w:tblPr>
      <w:tblGrid>
        <w:gridCol w:w="1430"/>
        <w:gridCol w:w="1258"/>
        <w:gridCol w:w="1271"/>
        <w:gridCol w:w="211"/>
        <w:gridCol w:w="736"/>
        <w:gridCol w:w="109"/>
        <w:gridCol w:w="109"/>
        <w:gridCol w:w="109"/>
        <w:gridCol w:w="109"/>
        <w:gridCol w:w="211"/>
        <w:gridCol w:w="721"/>
        <w:gridCol w:w="109"/>
        <w:gridCol w:w="109"/>
        <w:gridCol w:w="109"/>
        <w:gridCol w:w="109"/>
        <w:gridCol w:w="343"/>
        <w:gridCol w:w="347"/>
        <w:gridCol w:w="508"/>
        <w:gridCol w:w="109"/>
        <w:gridCol w:w="109"/>
        <w:gridCol w:w="109"/>
        <w:gridCol w:w="109"/>
        <w:gridCol w:w="109"/>
        <w:gridCol w:w="491"/>
      </w:tblGrid>
      <w:tr>
        <w:trPr/>
        <w:tc>
          <w:tcPr>
            <w:tcW w:w="143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4"/>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2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expense:</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Salaries and employee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20,317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Occupancy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Data processing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Advertising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Loan processing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Merger-related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Operational and other card fraud related losses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assessment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43,681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pPr>
      <w:r>
        <w:rPr>
          <w:rFonts w:ascii="Arial;sans-serif" w:hAnsi="Arial;sans-serif"/>
          <w:b w:val="false"/>
          <w:color w:val="000000"/>
          <w:sz w:val="20"/>
        </w:rPr>
        <w:t>Noninterest expense was $43.7 million for the three months ended March 31, 2026, as compared to $38.1 million for the three months ended March 31, 2025, an increase of $5.6 million. The change included increases of $2.9 million in professional fees associated with strategic investments in shared service areas and card partnerships for OpenSky</w:t>
      </w:r>
      <w:r>
        <w:rPr>
          <w:color w:val="000000"/>
        </w:rPr>
        <w:t>™</w:t>
      </w:r>
      <w:r>
        <w:rPr>
          <w:rFonts w:ascii="Arial;sans-serif" w:hAnsi="Arial;sans-serif"/>
          <w:b w:val="false"/>
          <w:color w:val="000000"/>
          <w:sz w:val="20"/>
        </w:rPr>
        <w:t>, $2.3 million of increases in salaries and employee benefits expenses due to headcount growth, $0.7 million in data processing costs related to investments in data infrastructure for OpenSky</w:t>
      </w:r>
      <w:r>
        <w:rPr>
          <w:color w:val="000000"/>
        </w:rPr>
        <w:t xml:space="preserve">™ </w:t>
      </w:r>
      <w:r>
        <w:rPr>
          <w:rFonts w:ascii="Arial;sans-serif" w:hAnsi="Arial;sans-serif"/>
          <w:b w:val="false"/>
          <w:color w:val="000000"/>
          <w:sz w:val="20"/>
        </w:rPr>
        <w:t>and core processing for the Commercial Bank, $0.7 million in occupancy and equipment due to an increase in software contracts and the acceleration of depreciation of capitalized assets related to OpenSky</w:t>
      </w:r>
      <w:r>
        <w:rPr>
          <w:color w:val="000000"/>
        </w:rPr>
        <w:t xml:space="preserve">™ </w:t>
      </w:r>
      <w:r>
        <w:rPr>
          <w:rFonts w:ascii="Arial;sans-serif" w:hAnsi="Arial;sans-serif"/>
          <w:b w:val="false"/>
          <w:color w:val="000000"/>
          <w:sz w:val="20"/>
        </w:rPr>
        <w:t>technology, $0.6 million in loan processing costs from loan expenses associated with our government guaranteed lending portfolio, and $0.2 million in other operating expenses. The increased spending was slightly offset by decreases of $1.3 million in merger-related expenses, $0.3 million in advertising, and $0.2 million in operational and other card fraud related losses.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Income Tax Expense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amount of income tax expense we incur is influenced by our pre-tax income, our tax exempt revenue and our nondeductible expenses. Deferred tax assets and liabilities are reflected at enacted tax rates in effect for the period in which the deferred tax assets and liabilities are expected to be realized or settled. A valuation allowance is established when necessary to reduce deferred tax assets to the amount expected to be realized.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for the periods indicated, our effective income tax rate:</w:t>
      </w:r>
    </w:p>
    <w:tbl>
      <w:tblPr>
        <w:tblW w:w="6175" w:type="dxa"/>
        <w:jc w:val="left"/>
        <w:tblInd w:w="0" w:type="dxa"/>
        <w:tblLayout w:type="fixed"/>
        <w:tblCellMar>
          <w:top w:w="28" w:type="dxa"/>
          <w:left w:w="28" w:type="dxa"/>
          <w:bottom w:w="28" w:type="dxa"/>
          <w:right w:w="28" w:type="dxa"/>
        </w:tblCellMar>
      </w:tblPr>
      <w:tblGrid>
        <w:gridCol w:w="872"/>
        <w:gridCol w:w="768"/>
        <w:gridCol w:w="774"/>
        <w:gridCol w:w="211"/>
        <w:gridCol w:w="736"/>
        <w:gridCol w:w="271"/>
        <w:gridCol w:w="109"/>
        <w:gridCol w:w="109"/>
        <w:gridCol w:w="109"/>
        <w:gridCol w:w="211"/>
        <w:gridCol w:w="721"/>
        <w:gridCol w:w="271"/>
        <w:gridCol w:w="109"/>
        <w:gridCol w:w="109"/>
        <w:gridCol w:w="109"/>
        <w:gridCol w:w="266"/>
        <w:gridCol w:w="109"/>
        <w:gridCol w:w="311"/>
      </w:tblGrid>
      <w:tr>
        <w:trPr/>
        <w:tc>
          <w:tcPr>
            <w:tcW w:w="8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4"/>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27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ind w:left="0" w:right="0" w:firstLine="180"/>
              <w:jc w:val="left"/>
              <w:rPr>
                <w:sz w:val="4"/>
                <w:szCs w:val="4"/>
              </w:rPr>
            </w:pPr>
            <w:r>
              <w:rPr>
                <w:sz w:val="4"/>
                <w:szCs w:val="4"/>
              </w:rPr>
            </w:r>
          </w:p>
        </w:tc>
        <w:tc>
          <w:tcPr>
            <w:tcW w:w="420" w:type="dxa"/>
            <w:gridSpan w:val="2"/>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15,871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3,853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Income tax expense was $3.9 million and $4.4 million for the three months ended March 31, 2026 and 2025, respectively. Our effective tax rate increased from 23.9% for the three months ended March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28650"/>
                <wp:effectExtent l="0" t="0" r="0" b="0"/>
                <wp:wrapNone/>
                <wp:docPr id="51" name="Frame5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2025 to 24.3% for the three months ended March 31, 2026 due to an increase in nondeductible stock-based compensation expense and nondeductible compensation expense. Additional information regarding the Company’s income taxes are discussed in detail in Note 13 “Income Taxes” in the “Notes to the Consolidated Financial Statements” contained in Part II. Item 8 “Financial Statements and Supplementary Data” of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Financial Condition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Company’s financial condition at the dates indicated.</w:t>
      </w:r>
    </w:p>
    <w:tbl>
      <w:tblPr>
        <w:tblW w:w="10205" w:type="dxa"/>
        <w:jc w:val="left"/>
        <w:tblInd w:w="0" w:type="dxa"/>
        <w:tblLayout w:type="fixed"/>
        <w:tblCellMar>
          <w:top w:w="28" w:type="dxa"/>
          <w:left w:w="28" w:type="dxa"/>
          <w:bottom w:w="28" w:type="dxa"/>
          <w:right w:w="28" w:type="dxa"/>
        </w:tblCellMar>
      </w:tblPr>
      <w:tblGrid>
        <w:gridCol w:w="1480"/>
        <w:gridCol w:w="1296"/>
        <w:gridCol w:w="1172"/>
        <w:gridCol w:w="211"/>
        <w:gridCol w:w="976"/>
        <w:gridCol w:w="271"/>
        <w:gridCol w:w="109"/>
        <w:gridCol w:w="109"/>
        <w:gridCol w:w="109"/>
        <w:gridCol w:w="222"/>
        <w:gridCol w:w="1028"/>
        <w:gridCol w:w="285"/>
        <w:gridCol w:w="109"/>
        <w:gridCol w:w="109"/>
        <w:gridCol w:w="109"/>
        <w:gridCol w:w="211"/>
        <w:gridCol w:w="826"/>
        <w:gridCol w:w="109"/>
        <w:gridCol w:w="109"/>
        <w:gridCol w:w="109"/>
        <w:gridCol w:w="109"/>
        <w:gridCol w:w="283"/>
        <w:gridCol w:w="283"/>
        <w:gridCol w:w="571"/>
      </w:tblGrid>
      <w:tr>
        <w:trPr/>
        <w:tc>
          <w:tcPr>
            <w:tcW w:w="148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 except per share data)</w:t>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948"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3,808,467 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3,606,207 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 available-for-sale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230,525 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230,083 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loans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Portfolio loans receivable, net of deferred fees and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3,026,431 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2,959,457 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54,660 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25,969 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3,292,047 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3,093,200 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FHLB borrowings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borrowed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408,859 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401,757 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Tangible common equity </w:t>
            </w:r>
            <w:r>
              <w:rPr>
                <w:rFonts w:ascii="Arial;sans-serif" w:hAnsi="Arial;sans-serif"/>
                <w:b w:val="false"/>
                <w:color w:val="000000"/>
                <w:sz w:val="12"/>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368,379 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361,017 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to total assets at end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basic shares outstanding, YTD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16,582 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diluted shares outstanding, YTD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shares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16,373 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Book value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Tangible book value per share </w:t>
            </w:r>
            <w:r>
              <w:rPr>
                <w:rFonts w:ascii="Arial;sans-serif" w:hAnsi="Arial;sans-serif"/>
                <w:b w:val="false"/>
                <w:color w:val="000000"/>
                <w:sz w:val="12"/>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per share, YTD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bidi w:val="0"/>
        <w:spacing w:lineRule="auto" w:line="288" w:before="0" w:after="0"/>
        <w:ind w:left="0" w:right="0" w:hanging="360"/>
        <w:jc w:val="both"/>
        <w:rPr/>
      </w:pPr>
      <w:r>
        <w:rPr>
          <w:rFonts w:ascii="Arial;sans-serif" w:hAnsi="Arial;sans-serif"/>
          <w:b w:val="false"/>
          <w:color w:val="000000"/>
          <w:sz w:val="8"/>
        </w:rPr>
        <w:t>(1)    </w:t>
      </w:r>
      <w:r>
        <w:rPr>
          <w:rFonts w:ascii="Arial;sans-serif" w:hAnsi="Arial;sans-serif"/>
          <w:b w:val="false"/>
          <w:color w:val="000000"/>
          <w:sz w:val="12"/>
        </w:rPr>
        <w:t>See “Non-GAAP Financial Measures and Reconciliations” for a reconciliation of non-GAAP measures.</w:t>
      </w:r>
    </w:p>
    <w:p>
      <w:pPr>
        <w:pStyle w:val="TextBody"/>
        <w:bidi w:val="0"/>
        <w:spacing w:before="0" w:after="240"/>
        <w:ind w:left="0" w:right="0" w:firstLine="360"/>
        <w:jc w:val="left"/>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Total assets at March 31, 2026 increased $202.3 million from the balance at December 31, 2025. Net portfolio loans, which exclude mortgage loans held for sale, totaled $3.0 billion as of March 31, 2026, an increase of $67.0 million, or 2.3%, from $3.0 billion at December 31, 2025. Mortgage loans held for sale decreased $12.1 million, or 46.8%, when comparing the period end balances at March 31, 2026 to December 31, 2025.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Investment Securities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To manage liquidity and supplement interest income earned on our loan portfolio, the Company invests in U.S. Treasuries, high-quality mortgage-backed securities (“MBS”), government agency bonds, asset-backed securities and high-quality municipal and corporate bonds. The asset-backed securities are comprised of student loan collateral issued by the Federal Family Education Loan Program, which includes a minimum of a 97% government repayment guarantee, as well as additional support in excess of the government guaranteed portion.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28650"/>
                <wp:effectExtent l="0" t="0" r="0" b="0"/>
                <wp:wrapNone/>
                <wp:docPr id="52" name="Frame5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summarize the contractual maturities, without consideration of call features or pre-refunding dates, and weighted-average yields of investment securities at March 31, 2026 and the amortized cost and carrying value of those securities as of the indicated dates. The weighted average yields were calculated by multiplying the amortized cost of each individual security by its yield, dividing that figure by the portfolio total, and then summing the value of these results to arrive at the weighted average yield. Yields on tax-exempt investments are not calculated on a fully tax equivalent basis.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INVESTMENT MATURITIES</w:t>
      </w:r>
    </w:p>
    <w:tbl>
      <w:tblPr>
        <w:tblW w:w="13994" w:type="dxa"/>
        <w:jc w:val="center"/>
        <w:tblInd w:w="0" w:type="dxa"/>
        <w:tblLayout w:type="fixed"/>
        <w:tblCellMar>
          <w:top w:w="28" w:type="dxa"/>
          <w:left w:w="28" w:type="dxa"/>
          <w:bottom w:w="28" w:type="dxa"/>
          <w:right w:w="28" w:type="dxa"/>
        </w:tblCellMar>
      </w:tblPr>
      <w:tblGrid>
        <w:gridCol w:w="499"/>
        <w:gridCol w:w="386"/>
        <w:gridCol w:w="391"/>
        <w:gridCol w:w="109"/>
        <w:gridCol w:w="109"/>
        <w:gridCol w:w="109"/>
        <w:gridCol w:w="181"/>
        <w:gridCol w:w="571"/>
        <w:gridCol w:w="109"/>
        <w:gridCol w:w="109"/>
        <w:gridCol w:w="109"/>
        <w:gridCol w:w="109"/>
        <w:gridCol w:w="263"/>
        <w:gridCol w:w="158"/>
        <w:gridCol w:w="330"/>
        <w:gridCol w:w="109"/>
        <w:gridCol w:w="109"/>
        <w:gridCol w:w="109"/>
        <w:gridCol w:w="181"/>
        <w:gridCol w:w="646"/>
        <w:gridCol w:w="109"/>
        <w:gridCol w:w="109"/>
        <w:gridCol w:w="109"/>
        <w:gridCol w:w="109"/>
        <w:gridCol w:w="249"/>
        <w:gridCol w:w="172"/>
        <w:gridCol w:w="302"/>
        <w:gridCol w:w="109"/>
        <w:gridCol w:w="109"/>
        <w:gridCol w:w="109"/>
        <w:gridCol w:w="181"/>
        <w:gridCol w:w="571"/>
        <w:gridCol w:w="109"/>
        <w:gridCol w:w="109"/>
        <w:gridCol w:w="109"/>
        <w:gridCol w:w="109"/>
        <w:gridCol w:w="238"/>
        <w:gridCol w:w="183"/>
        <w:gridCol w:w="280"/>
        <w:gridCol w:w="109"/>
        <w:gridCol w:w="109"/>
        <w:gridCol w:w="109"/>
        <w:gridCol w:w="181"/>
        <w:gridCol w:w="571"/>
        <w:gridCol w:w="109"/>
        <w:gridCol w:w="109"/>
        <w:gridCol w:w="109"/>
        <w:gridCol w:w="109"/>
        <w:gridCol w:w="263"/>
        <w:gridCol w:w="158"/>
        <w:gridCol w:w="330"/>
        <w:gridCol w:w="109"/>
        <w:gridCol w:w="109"/>
        <w:gridCol w:w="109"/>
        <w:gridCol w:w="181"/>
        <w:gridCol w:w="646"/>
        <w:gridCol w:w="109"/>
        <w:gridCol w:w="109"/>
        <w:gridCol w:w="109"/>
        <w:gridCol w:w="109"/>
        <w:gridCol w:w="181"/>
        <w:gridCol w:w="646"/>
        <w:gridCol w:w="109"/>
        <w:gridCol w:w="327"/>
        <w:gridCol w:w="421"/>
        <w:gridCol w:w="383"/>
      </w:tblGrid>
      <w:tr>
        <w:trPr/>
        <w:tc>
          <w:tcPr>
            <w:tcW w:w="49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More Than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More Than Five Years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More Than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Municipal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4.79 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5.53 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4.60 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2.72 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4.53 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described in Note 2 - ''Investment Securities'' in the “Notes to Unaudited Consolidated Financial Statements,” at March 31, 2026, management determined the Company does not have the intent to sell, nor is it more likely than not that it will be required to sell, available-for-sale debt securities in an unrealized loss position at March 31, 2026 before it is able to recover the amortized cost basis. Further, management reviewed the Company’s holdings as of March 31, 2026 and concluded there were no credit-related declines in fair value. Additional information related to the types of securities held at March 31, 2026, other than securities issued or guaranteed by U.S. Government entities or agencies, is as follows: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Corporate Securities – There have been no payment defaults on any of the Company’s holdings of corporate debt securities. There are three securities all of which are subordinated debt of other financial institutions with face amounts ranging from $0.5 million to $2 million.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Municipal Securities – All of the Company’s holdings of municipal bonds were investment grade and there have been no payment defaults. Summary ratings information at March 31, 2026, based on the amortized cost basis and reflecting the lowest enhanced or underlying rating by Moody’s, Standard &amp; Poors or Fitch, is as follows: AAA – 76% of the portfolio; AA+ – 24%.</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Asset-backed Securities – There were three investment grade asset-backed securities, and there have been no payment defaults on these securities.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such, it is deemed the above listed securities are not in an unrealized loss position due to credit-related issues and no further analysis is warranted as of March 31, 2026.</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Portfolio Loans Receivable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primary source of income is derived from interest earned on loans. Our portfolio loans consist of loans secured by real estate as well as commercial business loans, credit card loans and, to a limited extent, other consumer loans. Our loan customers primarily consist of small- to medium-sized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28650"/>
                <wp:effectExtent l="0" t="0" r="0" b="0"/>
                <wp:wrapNone/>
                <wp:docPr id="53" name="Frame5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businesses, professionals, real estate investors, small residential builders and individuals. Our owner-occupied commercial real estate loans, residential construction loans and commercial business and investment loans provide us with higher risk-adjusted returns, shorter maturities and more sensitivity to interest rate fluctuations, and are complemented by our relatively lower risk residential real estate loans to individuals. Our credit card portfolio supplements our traditional lending products with enhanced yields. Our traditional commercial real estate and commercial and industrial lending are principally directed to our market area consisting of the Washington, D.C. and Baltimore, Maryland metropolitan areas.</w:t>
      </w:r>
    </w:p>
    <w:p>
      <w:pPr>
        <w:pStyle w:val="TextBody"/>
        <w:bidi w:val="0"/>
        <w:spacing w:lineRule="auto" w:line="288" w:before="0" w:after="240"/>
        <w:ind w:left="0" w:right="0" w:firstLine="360"/>
        <w:jc w:val="both"/>
        <w:rPr/>
      </w:pPr>
      <w:r>
        <w:rPr>
          <w:rFonts w:ascii="Arial;sans-serif" w:hAnsi="Arial;sans-serif"/>
          <w:b w:val="false"/>
          <w:i/>
          <w:color w:val="000000"/>
          <w:sz w:val="20"/>
        </w:rPr>
        <w:t>Residential Real Estate Loans</w:t>
      </w:r>
      <w:r>
        <w:rPr>
          <w:rFonts w:ascii="Arial;sans-serif" w:hAnsi="Arial;sans-serif"/>
          <w:b w:val="false"/>
          <w:color w:val="000000"/>
          <w:sz w:val="20"/>
        </w:rPr>
        <w:t>. One-to-four family mortgage loans are primarily secured by owner-occupied primary and secondary residences and, to a lesser extent, investor-owned residences. Residential loans are originated through the commercial sales teams and CBHL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w:t>
      </w:r>
    </w:p>
    <w:p>
      <w:pPr>
        <w:pStyle w:val="TextBody"/>
        <w:bidi w:val="0"/>
        <w:spacing w:lineRule="auto" w:line="288" w:before="0" w:after="240"/>
        <w:ind w:left="0" w:right="0" w:firstLine="360"/>
        <w:jc w:val="both"/>
        <w:rPr/>
      </w:pPr>
      <w:r>
        <w:rPr>
          <w:rFonts w:ascii="Arial;sans-serif" w:hAnsi="Arial;sans-serif"/>
          <w:b w:val="false"/>
          <w:i/>
          <w:color w:val="000000"/>
          <w:sz w:val="20"/>
        </w:rPr>
        <w:t>Commercial Real Estate Loans</w:t>
      </w:r>
      <w:r>
        <w:rPr>
          <w:rFonts w:ascii="Arial;sans-serif" w:hAnsi="Arial;sans-serif"/>
          <w:b w:val="false"/>
          <w:color w:val="000000"/>
          <w:sz w:val="20"/>
        </w:rPr>
        <w:t>. Commercial real estate loans are originated on owner-occupied and non-owner-occupied properties. These loans may be adversely affected by conditions in the real estate markets or in the general economy. Business equity lines of credit totaling $4.2 million as of March 31, 2026 and $3.8 million as of December 31, 2025, are included in the commercial real estate loan category. Business equity lines of credit are commercial purpose lines of credit primarily secured by the business owners residential properties. Lender finance loans totaling $43.8 million as of March 31, 2026 and $41.4 million as of December 31, 2025, are also included in the commercial real estate loan category. Lender finance loans are loans to companies used to purchase finance receivables or extend finance receivables to the underlying obligors and are secured primarily by the finance receivables held by our borrowers. The primary sources of repayment are the operating incomes of the borrowers and the collection of the finance receivables securing the loans. Commercial loans that are secured by owner-occupied commercial real estate and primarily collateralized by operating cash flows are included in the commercial real estate loan category. Commercial real estate loan terms are generally extended for 10 years or less and amortize generally over 25 years or less. The interest rates on commercial real estate loans generally have initial fixed rate terms that adjust typically at five years.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diverse in type. This diversity may help reduce the exposure to adverse economic events that affect any single industry.</w:t>
      </w:r>
    </w:p>
    <w:p>
      <w:pPr>
        <w:pStyle w:val="TextBody"/>
        <w:bidi w:val="0"/>
        <w:spacing w:lineRule="auto" w:line="288" w:before="0" w:after="240"/>
        <w:ind w:left="0" w:right="0" w:firstLine="360"/>
        <w:jc w:val="both"/>
        <w:rPr/>
      </w:pPr>
      <w:r>
        <w:rPr>
          <w:rFonts w:ascii="Arial;sans-serif" w:hAnsi="Arial;sans-serif"/>
          <w:b w:val="false"/>
          <w:i/>
          <w:color w:val="000000"/>
          <w:sz w:val="20"/>
        </w:rPr>
        <w:t>Construction Loans</w:t>
      </w:r>
      <w:r>
        <w:rPr>
          <w:rFonts w:ascii="Arial;sans-serif" w:hAnsi="Arial;sans-serif"/>
          <w:b w:val="false"/>
          <w:color w:val="000000"/>
          <w:sz w:val="20"/>
        </w:rPr>
        <w:t>. Construction loans are offered primarily within the Company’s Washington, D.C. and Baltimore, Maryland metropolitan operating areas to builders, primarily for the construction of single-family homes and condominium and townhouse conversions or renovations and, to a lesser extent, to individuals. Construction loans typically have terms of 12 to 18 months. The Company sometimes transitions the end purchaser to permanent financing or re-underwriting and sale into the secondary market through its CBHL division. According to underwriting standards, the ratio of loan principal to collateral value, as established by an independent appraisal, cannot exceed 75% for investor-owned and 80% for owner-occupied properties, although exceptions are sometimes made. The Company performs a stress test of the construction loan portfolio at least once a year, and underlying real estate conditions are monitored as well as trends in sales outcomes versus underwriting valuations as part of ongoing risk management efforts. The borrowers’ progress in construction buildout is monitored against the original underwriting guidelines for construction milestones and completion timelines.</w:t>
      </w:r>
    </w:p>
    <w:p>
      <w:pPr>
        <w:pStyle w:val="TextBody"/>
        <w:bidi w:val="0"/>
        <w:spacing w:lineRule="auto" w:line="288" w:before="0" w:after="240"/>
        <w:ind w:left="0" w:right="0" w:firstLine="360"/>
        <w:jc w:val="both"/>
        <w:rPr/>
      </w:pPr>
      <w:r>
        <w:rPr>
          <w:rFonts w:ascii="Arial;sans-serif" w:hAnsi="Arial;sans-serif"/>
          <w:b w:val="false"/>
          <w:i/>
          <w:color w:val="000000"/>
          <w:sz w:val="20"/>
        </w:rPr>
        <w:t>Commercial and Industrial</w:t>
      </w:r>
      <w:r>
        <w:rPr>
          <w:rFonts w:ascii="Arial;sans-serif" w:hAnsi="Arial;sans-serif"/>
          <w:b w:val="false"/>
          <w:color w:val="000000"/>
          <w:sz w:val="20"/>
        </w:rPr>
        <w:t xml:space="preserve">. In addition to other loan products, general commercial loans, including commercial lines of credit, working capital loans, term loans, equipment financing, letters of credit, government guaranteed loans and solar energy related loans and other loan products, are offered, primarily in target markets, and underwritten based on each borrower’s ability to service debt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28650"/>
                <wp:effectExtent l="0" t="0" r="0" b="0"/>
                <wp:wrapNone/>
                <wp:docPr id="54" name="Frame5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Personal guaranties from the borrower or other principal are generally obtained.</w:t>
      </w:r>
    </w:p>
    <w:p>
      <w:pPr>
        <w:pStyle w:val="TextBody"/>
        <w:bidi w:val="0"/>
        <w:spacing w:lineRule="auto" w:line="288" w:before="0" w:after="240"/>
        <w:ind w:left="0" w:right="0" w:firstLine="360"/>
        <w:jc w:val="both"/>
        <w:rPr/>
      </w:pPr>
      <w:r>
        <w:rPr>
          <w:rFonts w:ascii="Arial;sans-serif" w:hAnsi="Arial;sans-serif"/>
          <w:b w:val="false"/>
          <w:i/>
          <w:color w:val="000000"/>
          <w:sz w:val="20"/>
        </w:rPr>
        <w:t>Credit Cards</w:t>
      </w:r>
      <w:r>
        <w:rPr>
          <w:rFonts w:ascii="Arial;sans-serif" w:hAnsi="Arial;sans-serif"/>
          <w:b w:val="false"/>
          <w:color w:val="000000"/>
          <w:sz w:val="20"/>
        </w:rPr>
        <w:t>. Through the OpenSky™ credit card division, the Company offers secured, partially secured, and unsecured credit cards on a nationwide basis to under-banked populations and those looking to rebuild their credit scores through a fully digital and mobile platform. The secured lines of credit are secured by a noninterest-bearing demand account at the Bank in an amount equal to the full credit limit of the credit card. For the partially secured lines of credit, the Bank offers certain customers an unsecured line in excess of their secured line of credit by using a proprietary scoring model, which considers credit score and repayment history (typically a minimum of six months of on-time payments, but ultimately determined on a case-by-case basis). Partially secured and unsecured credit cards are only extended to existing secured card customers who have demonstrated sound credit behaviors. Approximately $90.0 million and $97.3 million in secured and partially secured credit card balances were protected by savings deposits held by the Company as of March 31, 2026 and December 31, 2025, respectively. Unsecured balances were $46.6 million and $47.1 million, respectively, at the same dates.</w:t>
      </w:r>
    </w:p>
    <w:p>
      <w:pPr>
        <w:pStyle w:val="TextBody"/>
        <w:bidi w:val="0"/>
        <w:spacing w:lineRule="auto" w:line="288" w:before="0" w:after="240"/>
        <w:ind w:left="0" w:right="0" w:firstLine="360"/>
        <w:jc w:val="both"/>
        <w:rPr/>
      </w:pPr>
      <w:r>
        <w:rPr>
          <w:rFonts w:ascii="Arial;sans-serif" w:hAnsi="Arial;sans-serif"/>
          <w:b w:val="false"/>
          <w:i/>
          <w:color w:val="000000"/>
          <w:sz w:val="20"/>
        </w:rPr>
        <w:t>Other Consumer Loans</w:t>
      </w:r>
      <w:r>
        <w:rPr>
          <w:rFonts w:ascii="Arial;sans-serif" w:hAnsi="Arial;sans-serif"/>
          <w:b w:val="false"/>
          <w:color w:val="000000"/>
          <w:sz w:val="20"/>
        </w:rPr>
        <w:t>. To a limited extent and typically as an accommodation to existing customers, personal consumer loans, such as term loans, car loans and boat loans are offered.</w:t>
      </w:r>
    </w:p>
    <w:p>
      <w:pPr>
        <w:pStyle w:val="TextBody"/>
        <w:bidi w:val="0"/>
        <w:spacing w:lineRule="auto" w:line="288" w:before="0" w:after="240"/>
        <w:ind w:left="0" w:right="0" w:firstLine="360"/>
        <w:jc w:val="both"/>
        <w:rPr/>
      </w:pPr>
      <w:r>
        <w:rPr>
          <w:rFonts w:ascii="Arial;sans-serif" w:hAnsi="Arial;sans-serif"/>
          <w:b w:val="false"/>
          <w:i/>
          <w:color w:val="000000"/>
          <w:sz w:val="20"/>
        </w:rPr>
        <w:t>Purchased Credit Deterioration</w:t>
      </w:r>
      <w:r>
        <w:rPr>
          <w:rFonts w:ascii="Arial;sans-serif" w:hAnsi="Arial;sans-serif"/>
          <w:b w:val="false"/>
          <w:color w:val="000000"/>
          <w:sz w:val="20"/>
        </w:rPr>
        <w:t>. Acquired loans, including those acquired in a business combination, are evaluated to determine if they have experienced more-than-insignificant deterioration in credit quality since origination. When the condition exists, these loans are referred to as purchased credit deteriorated (“PCD”). An allowance is recognized for a PCD loan by adding it to the purchase price or fair value in a business combination. There is no provision for credit losses recognized upon acquisition of a PCD loan since the initial allowance is established through purchase accounting. After initial recognition, the accounting for a PCD loan follows the credit loss model that applies to the loan category. Purchased financial loans that do not have a more-than-significant deterioration in credit quality since origination are accounted for in a manner consistent with originated loans. An allowance for credit losses is recorded with a corresponding charge to provision for credit losses. Subsequent to the acquisition date, the methods utilized to estimate the required ACL for these loans is similar to the method used for organically originated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28650"/>
                <wp:effectExtent l="0" t="0" r="0" b="0"/>
                <wp:wrapNone/>
                <wp:docPr id="55" name="Frame5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repayment of loans is a source of additional liquidity for the Company. The following table details contractual maturities of our portfolio loans, along with an analysis of loans maturing after one year categorized by rate characteristic. Loans with adjustable interest rates are shown as maturing in the period during which the contract is due. The table does not reflect the effects of possible prepayments.</w:t>
      </w:r>
    </w:p>
    <w:p>
      <w:pPr>
        <w:pStyle w:val="TextBody"/>
        <w:bidi w:val="0"/>
        <w:spacing w:before="0" w:after="240"/>
        <w:ind w:left="0" w:right="0" w:firstLine="360"/>
        <w:jc w:val="both"/>
        <w:rPr/>
      </w:pPr>
      <w:r>
        <w:rPr/>
      </w:r>
    </w:p>
    <w:tbl>
      <w:tblPr>
        <w:tblW w:w="10394" w:type="dxa"/>
        <w:jc w:val="center"/>
        <w:tblInd w:w="0" w:type="dxa"/>
        <w:tblLayout w:type="fixed"/>
        <w:tblCellMar>
          <w:top w:w="28" w:type="dxa"/>
          <w:left w:w="28" w:type="dxa"/>
          <w:bottom w:w="28" w:type="dxa"/>
          <w:right w:w="28" w:type="dxa"/>
        </w:tblCellMar>
      </w:tblPr>
      <w:tblGrid>
        <w:gridCol w:w="409"/>
        <w:gridCol w:w="360"/>
        <w:gridCol w:w="282"/>
        <w:gridCol w:w="196"/>
        <w:gridCol w:w="871"/>
        <w:gridCol w:w="109"/>
        <w:gridCol w:w="109"/>
        <w:gridCol w:w="109"/>
        <w:gridCol w:w="109"/>
        <w:gridCol w:w="109"/>
        <w:gridCol w:w="109"/>
        <w:gridCol w:w="196"/>
        <w:gridCol w:w="871"/>
        <w:gridCol w:w="109"/>
        <w:gridCol w:w="109"/>
        <w:gridCol w:w="109"/>
        <w:gridCol w:w="109"/>
        <w:gridCol w:w="930"/>
        <w:gridCol w:w="331"/>
        <w:gridCol w:w="196"/>
        <w:gridCol w:w="871"/>
        <w:gridCol w:w="109"/>
        <w:gridCol w:w="270"/>
        <w:gridCol w:w="165"/>
        <w:gridCol w:w="165"/>
        <w:gridCol w:w="166"/>
        <w:gridCol w:w="109"/>
        <w:gridCol w:w="196"/>
        <w:gridCol w:w="736"/>
        <w:gridCol w:w="109"/>
        <w:gridCol w:w="109"/>
        <w:gridCol w:w="109"/>
        <w:gridCol w:w="109"/>
        <w:gridCol w:w="109"/>
        <w:gridCol w:w="109"/>
        <w:gridCol w:w="196"/>
        <w:gridCol w:w="871"/>
        <w:gridCol w:w="154"/>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1" w:type="dxa"/>
            <w:gridSpan w:val="19"/>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16"/>
              </w:rPr>
            </w:pPr>
            <w:r>
              <w:rPr>
                <w:rFonts w:ascii="Arial;sans-serif" w:hAnsi="Arial;sans-serif"/>
                <w:b/>
                <w:color w:val="000000"/>
                <w:sz w:val="16"/>
              </w:rPr>
              <w:t>As of March 31, 2026</w:t>
            </w:r>
          </w:p>
        </w:tc>
        <w:tc>
          <w:tcPr>
            <w:tcW w:w="3682" w:type="dxa"/>
            <w:gridSpan w:val="16"/>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One Year </w:t>
              <w:br/>
              <w:t>or Less</w:t>
            </w:r>
          </w:p>
        </w:tc>
        <w:tc>
          <w:tcPr>
            <w:tcW w:w="109" w:type="dxa"/>
            <w:tcBorders/>
            <w:vAlign w:val="center"/>
          </w:tcPr>
          <w:p>
            <w:pPr>
              <w:pStyle w:val="TableContents"/>
              <w:bidi w:val="0"/>
              <w:spacing w:before="0" w:after="283"/>
              <w:jc w:val="left"/>
              <w:rPr>
                <w:sz w:val="4"/>
                <w:szCs w:val="4"/>
              </w:rPr>
            </w:pPr>
            <w:r>
              <w:rPr>
                <w:sz w:val="4"/>
                <w:szCs w:val="4"/>
              </w:rPr>
            </w:r>
          </w:p>
        </w:tc>
        <w:tc>
          <w:tcPr>
            <w:tcW w:w="1285"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One to </w:t>
              <w:br/>
              <w:t>Five Years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Over </w:t>
              <w:br/>
              <w:t>Five Years to Fifteen Years</w:t>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 Fifteen Years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8"/>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gross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3,030,430 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1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above maturing after one year categorized by rate characteristic:</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Predetermined Interest Rates</w:t>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Floating or Variable Rates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766" w:type="dxa"/>
            <w:gridSpan w:val="8"/>
            <w:tcBorders/>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gross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1,948,249 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present non-owner-occupied and owner-occupied commercial real estate loans and multi-family loans and the weighted average loan-to-value (“LTV”) and fixed rate maturities by year and loan type:</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28650"/>
                <wp:effectExtent l="0" t="0" r="0" b="0"/>
                <wp:wrapNone/>
                <wp:docPr id="56" name="Frame5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color w:val="000000"/>
          <w:sz w:val="20"/>
        </w:rPr>
      </w:pPr>
      <w:r>
        <w:rPr>
          <w:rFonts w:ascii="Arial;sans-serif" w:hAnsi="Arial;sans-serif"/>
          <w:b/>
          <w:color w:val="000000"/>
          <w:sz w:val="20"/>
        </w:rPr>
        <w:t>Non-owner-occupied commercial real estate loans, including multi-family</w:t>
      </w:r>
    </w:p>
    <w:tbl>
      <w:tblPr>
        <w:tblW w:w="10205" w:type="dxa"/>
        <w:jc w:val="left"/>
        <w:tblInd w:w="0" w:type="dxa"/>
        <w:tblLayout w:type="fixed"/>
        <w:tblCellMar>
          <w:top w:w="28" w:type="dxa"/>
          <w:left w:w="28" w:type="dxa"/>
          <w:bottom w:w="28" w:type="dxa"/>
          <w:right w:w="28" w:type="dxa"/>
        </w:tblCellMar>
      </w:tblPr>
      <w:tblGrid>
        <w:gridCol w:w="737"/>
        <w:gridCol w:w="649"/>
        <w:gridCol w:w="656"/>
        <w:gridCol w:w="196"/>
        <w:gridCol w:w="871"/>
        <w:gridCol w:w="109"/>
        <w:gridCol w:w="109"/>
        <w:gridCol w:w="109"/>
        <w:gridCol w:w="109"/>
        <w:gridCol w:w="222"/>
        <w:gridCol w:w="632"/>
        <w:gridCol w:w="123"/>
        <w:gridCol w:w="109"/>
        <w:gridCol w:w="109"/>
        <w:gridCol w:w="109"/>
        <w:gridCol w:w="302"/>
        <w:gridCol w:w="240"/>
        <w:gridCol w:w="569"/>
        <w:gridCol w:w="109"/>
        <w:gridCol w:w="109"/>
        <w:gridCol w:w="109"/>
        <w:gridCol w:w="533"/>
        <w:gridCol w:w="533"/>
        <w:gridCol w:w="1255"/>
        <w:gridCol w:w="109"/>
        <w:gridCol w:w="109"/>
        <w:gridCol w:w="109"/>
        <w:gridCol w:w="339"/>
        <w:gridCol w:w="244"/>
        <w:gridCol w:w="687"/>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0" w:type="dxa"/>
            <w:gridSpan w:val="21"/>
            <w:tcBorders/>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gridSpan w:val="27"/>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16"/>
              </w:rPr>
            </w:pPr>
            <w:r>
              <w:rPr>
                <w:rFonts w:ascii="Arial;sans-serif" w:hAnsi="Arial;sans-serif"/>
                <w:b/>
                <w:color w:val="000000"/>
                <w:sz w:val="16"/>
              </w:rPr>
              <w:t>As of March 31, 2026</w:t>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Loan Size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Weighted Average LTV</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Non-Owner-Occupied Commercial Real Estate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 Portfolio Loans, Gross</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type: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Multi-family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Not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34.7 </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Mixed use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6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Hotel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6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6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non-owner-occupied commercial real estate loans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gross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3,030,430 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color w:val="000000"/>
          <w:sz w:val="20"/>
        </w:rPr>
      </w:pPr>
      <w:r>
        <w:rPr>
          <w:rFonts w:ascii="Arial;sans-serif" w:hAnsi="Arial;sans-serif"/>
          <w:b/>
          <w:color w:val="000000"/>
          <w:sz w:val="20"/>
        </w:rPr>
        <w:t>Scheduled maturities of fixed rate non-owner-occupied commercial real estate loans, including multi-family</w:t>
      </w:r>
    </w:p>
    <w:tbl>
      <w:tblPr>
        <w:tblW w:w="10205" w:type="dxa"/>
        <w:jc w:val="left"/>
        <w:tblInd w:w="0" w:type="dxa"/>
        <w:tblLayout w:type="fixed"/>
        <w:tblCellMar>
          <w:top w:w="28" w:type="dxa"/>
          <w:left w:w="28" w:type="dxa"/>
          <w:bottom w:w="28" w:type="dxa"/>
          <w:right w:w="28" w:type="dxa"/>
        </w:tblCellMar>
      </w:tblPr>
      <w:tblGrid>
        <w:gridCol w:w="872"/>
        <w:gridCol w:w="768"/>
        <w:gridCol w:w="777"/>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20"/>
        <w:gridCol w:w="828"/>
        <w:gridCol w:w="122"/>
        <w:gridCol w:w="109"/>
        <w:gridCol w:w="109"/>
        <w:gridCol w:w="109"/>
        <w:gridCol w:w="196"/>
        <w:gridCol w:w="736"/>
        <w:gridCol w:w="157"/>
      </w:tblGrid>
      <w:tr>
        <w:trPr/>
        <w:tc>
          <w:tcPr>
            <w:tcW w:w="8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2" w:type="dxa"/>
            <w:gridSpan w:val="21"/>
            <w:tcBorders/>
          </w:tcPr>
          <w:p>
            <w:pPr>
              <w:pStyle w:val="TableContents"/>
              <w:bidi w:val="0"/>
              <w:spacing w:before="0" w:after="283"/>
              <w:jc w:val="left"/>
              <w:rPr>
                <w:sz w:val="4"/>
                <w:szCs w:val="4"/>
              </w:rPr>
            </w:pPr>
            <w:r>
              <w:rPr>
                <w:sz w:val="4"/>
                <w:szCs w:val="4"/>
              </w:rPr>
            </w:r>
          </w:p>
        </w:tc>
      </w:tr>
      <w:tr>
        <w:trPr/>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8" w:type="dxa"/>
            <w:gridSpan w:val="3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16"/>
              </w:rPr>
            </w:pPr>
            <w:r>
              <w:rPr>
                <w:rFonts w:ascii="Arial;sans-serif" w:hAnsi="Arial;sans-serif"/>
                <w:b/>
                <w:color w:val="000000"/>
                <w:sz w:val="16"/>
              </w:rPr>
              <w:t>As of March 31, 2026</w:t>
            </w:r>
          </w:p>
        </w:tc>
      </w:tr>
      <w:tr>
        <w:trPr/>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2030 and Onwards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type: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Multi-family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216,380 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181,499 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Mixed use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Hotel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4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fixed rate non-owner-occupied commercial real estate loans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209,277 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522,076 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Owner-occupied commercial real estate loans</w:t>
      </w:r>
    </w:p>
    <w:tbl>
      <w:tblPr>
        <w:tblW w:w="10205" w:type="dxa"/>
        <w:jc w:val="left"/>
        <w:tblInd w:w="0" w:type="dxa"/>
        <w:tblLayout w:type="fixed"/>
        <w:tblCellMar>
          <w:top w:w="28" w:type="dxa"/>
          <w:left w:w="28" w:type="dxa"/>
          <w:bottom w:w="28" w:type="dxa"/>
          <w:right w:w="28" w:type="dxa"/>
        </w:tblCellMar>
      </w:tblPr>
      <w:tblGrid>
        <w:gridCol w:w="781"/>
        <w:gridCol w:w="636"/>
        <w:gridCol w:w="496"/>
        <w:gridCol w:w="196"/>
        <w:gridCol w:w="871"/>
        <w:gridCol w:w="109"/>
        <w:gridCol w:w="109"/>
        <w:gridCol w:w="109"/>
        <w:gridCol w:w="109"/>
        <w:gridCol w:w="235"/>
        <w:gridCol w:w="669"/>
        <w:gridCol w:w="131"/>
        <w:gridCol w:w="109"/>
        <w:gridCol w:w="109"/>
        <w:gridCol w:w="109"/>
        <w:gridCol w:w="317"/>
        <w:gridCol w:w="261"/>
        <w:gridCol w:w="620"/>
        <w:gridCol w:w="109"/>
        <w:gridCol w:w="109"/>
        <w:gridCol w:w="109"/>
        <w:gridCol w:w="495"/>
        <w:gridCol w:w="495"/>
        <w:gridCol w:w="1169"/>
        <w:gridCol w:w="109"/>
        <w:gridCol w:w="109"/>
        <w:gridCol w:w="109"/>
        <w:gridCol w:w="363"/>
        <w:gridCol w:w="277"/>
        <w:gridCol w:w="776"/>
      </w:tblGrid>
      <w:tr>
        <w:trPr/>
        <w:tc>
          <w:tcPr>
            <w:tcW w:w="78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191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9" w:type="dxa"/>
            <w:gridSpan w:val="21"/>
            <w:tcBorders/>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27"/>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16"/>
              </w:rPr>
            </w:pPr>
            <w:r>
              <w:rPr>
                <w:rFonts w:ascii="Arial;sans-serif" w:hAnsi="Arial;sans-serif"/>
                <w:b/>
                <w:color w:val="000000"/>
                <w:sz w:val="16"/>
              </w:rPr>
              <w:t>As of March 31, 2026</w:t>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Loan Size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Weighted Average LTV</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Owner-Occupied Commercial Real Estate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 Portfolio Loans, Gross</w:t>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type: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Mixed use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191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owner-occupied commercial real estate loans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53.9 </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gross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3,030,430 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28650"/>
                <wp:effectExtent l="0" t="0" r="0" b="0"/>
                <wp:wrapNone/>
                <wp:docPr id="57" name="Frame5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Scheduled maturities of fixed rate owner-occupied commercial real estate loans</w:t>
      </w:r>
    </w:p>
    <w:tbl>
      <w:tblPr>
        <w:tblW w:w="10205" w:type="dxa"/>
        <w:jc w:val="left"/>
        <w:tblInd w:w="0" w:type="dxa"/>
        <w:tblLayout w:type="fixed"/>
        <w:tblCellMar>
          <w:top w:w="28" w:type="dxa"/>
          <w:left w:w="28" w:type="dxa"/>
          <w:bottom w:w="28" w:type="dxa"/>
          <w:right w:w="28" w:type="dxa"/>
        </w:tblCellMar>
      </w:tblPr>
      <w:tblGrid>
        <w:gridCol w:w="999"/>
        <w:gridCol w:w="813"/>
        <w:gridCol w:w="635"/>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31"/>
        <w:gridCol w:w="870"/>
        <w:gridCol w:w="128"/>
        <w:gridCol w:w="109"/>
        <w:gridCol w:w="109"/>
        <w:gridCol w:w="109"/>
        <w:gridCol w:w="196"/>
        <w:gridCol w:w="736"/>
        <w:gridCol w:w="158"/>
      </w:tblGrid>
      <w:tr>
        <w:trPr/>
        <w:tc>
          <w:tcPr>
            <w:tcW w:w="99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2" w:type="dxa"/>
            <w:gridSpan w:val="21"/>
            <w:tcBorders/>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8" w:type="dxa"/>
            <w:gridSpan w:val="3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16"/>
              </w:rPr>
            </w:pPr>
            <w:r>
              <w:rPr>
                <w:rFonts w:ascii="Arial;sans-serif" w:hAnsi="Arial;sans-serif"/>
                <w:b/>
                <w:color w:val="000000"/>
                <w:sz w:val="16"/>
              </w:rPr>
              <w:t>As of March 31, 2026</w:t>
            </w:r>
          </w:p>
        </w:tc>
      </w:tr>
      <w:tr>
        <w:trPr/>
        <w:tc>
          <w:tcPr>
            <w:tcW w:w="2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2030 and Onwards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type: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36,264 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Mixed use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116,165 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fixed rate owner-occupied commercial real estate loans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259,637 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431,072 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Times New Roman;serif" w:hAnsi="Times New Roman;serif"/>
          <w:b w:val="false"/>
          <w:color w:val="000000"/>
          <w:sz w:val="8"/>
        </w:rPr>
        <w:t>(1)</w:t>
      </w:r>
      <w:r>
        <w:rPr>
          <w:rFonts w:ascii="Arial;sans-serif" w:hAnsi="Arial;sans-serif"/>
          <w:b w:val="false"/>
          <w:color w:val="000000"/>
          <w:sz w:val="12"/>
        </w:rPr>
        <w:t>Weighted average LTV is calculated by reference to the most recent available appraisal of the property securing each loan.</w:t>
      </w:r>
    </w:p>
    <w:p>
      <w:pPr>
        <w:pStyle w:val="TextBody"/>
        <w:bidi w:val="0"/>
        <w:spacing w:lineRule="auto" w:line="288" w:before="0" w:after="0"/>
        <w:ind w:left="0" w:right="0" w:hanging="360"/>
        <w:jc w:val="both"/>
        <w:rPr/>
      </w:pPr>
      <w:r>
        <w:rPr>
          <w:rFonts w:ascii="Times New Roman;serif" w:hAnsi="Times New Roman;serif"/>
          <w:b w:val="false"/>
          <w:color w:val="000000"/>
          <w:sz w:val="8"/>
        </w:rPr>
        <w:t>(2)</w:t>
      </w:r>
      <w:r>
        <w:rPr>
          <w:rFonts w:ascii="Arial;sans-serif" w:hAnsi="Arial;sans-serif"/>
          <w:b w:val="false"/>
          <w:color w:val="000000"/>
          <w:sz w:val="12"/>
        </w:rPr>
        <w:t>Other non-owner-occupied commercial real estate loans include a land loan of $13.6 million, special purpose loans of $8.6 million, skilled nursing loans of $8.4 million, and other loans of $8.2 million.</w:t>
      </w:r>
    </w:p>
    <w:p>
      <w:pPr>
        <w:pStyle w:val="TextBody"/>
        <w:bidi w:val="0"/>
        <w:spacing w:lineRule="auto" w:line="288" w:before="0" w:after="0"/>
        <w:ind w:left="0" w:right="0" w:hanging="360"/>
        <w:jc w:val="both"/>
        <w:rPr/>
      </w:pPr>
      <w:r>
        <w:rPr>
          <w:rFonts w:ascii="Arial;sans-serif" w:hAnsi="Arial;sans-serif"/>
          <w:b w:val="false"/>
          <w:color w:val="000000"/>
          <w:sz w:val="8"/>
        </w:rPr>
        <w:t>(3)</w:t>
      </w:r>
      <w:r>
        <w:rPr>
          <w:rFonts w:ascii="Arial;sans-serif" w:hAnsi="Arial;sans-serif"/>
          <w:b w:val="false"/>
          <w:color w:val="000000"/>
          <w:sz w:val="12"/>
        </w:rPr>
        <w:t>Other owner-occupied commercial real estate loans include special purpose loans of $97.8 million, skilled nursing loans of $30.5 million, $25.3 million of religious facility loans and other loans of $26.3 million.</w:t>
      </w:r>
    </w:p>
    <w:p>
      <w:pPr>
        <w:pStyle w:val="TextBody"/>
        <w:bidi w:val="0"/>
        <w:spacing w:before="0" w:after="0"/>
        <w:jc w:val="both"/>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Nonperforming Assets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In general, we place loans on nonaccrual status when they become 90 days past due. We also place loans on nonaccrual status if they are less than 90 days past due if the collection of principal or interest is in doubt. When the interest accrual is discontinued, all unpaid accrued interest is reversed from income. Loans are returned to accrual status when all of the principal and interest amounts contractually due are brought current and future payments are, in management’s opinion, reasonably assured.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Loans are generally charged-off in part or in full when management determines the loan to be uncollectible. Factors for charge-off that may be considered include: repayments deemed to be extended out beyond reasonable time frames, customer bankruptcy and lack of assets, and/or collateral deficiencies. Secured consumer credit card balances are eligible for the charge-off queue after they become more than 90 days past due. Unsecured consumer credit card balances are eligible for charge-off after they become more than 150 days past due and are charged-off no later than 180 days after they become past due. Otherwise, loans that are past due for 180 days or more are charged off unless the loan is well-secured and in the process of collection.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believes its approach to lending and the management of nonperforming assets has resulted in sound asset quality and timely resolution of problem assets. The Company has established underwriting guidelines to be followed by our bankers, and routinely monitors our delinquency levels for any negative or adverse trends. There can be no assurance, however, that our loan portfolio will not become subject to increasing pressures from deteriorating borrower credit.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From a credit risk standpoint, we grade watchlist and problem loans into one of five credit quality indicators: pass/watch, special mention, substandard, doubtful or loss. The classifications of loans reflect a judgment about the risks of default and loss associated with each loan. Credit ratings are reviewed regularly and then adjusted to reflect the degree of risk and loss that our management believes to be appropriate for each credit. Our lending policy requires the routine monitoring of past due reports, daily overdraft reports, monthly maturing loans, monthly risk rating reports and internal loan review reports. The lending and credit management of the Bank meet periodically to review loans rated pass/watch. The focus of each meeting is to identify any necessary required action within this loan population, which consists of loans that, although considered satisfactory and performing to terms, may exhibit special risk features that warrant management’s attention.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28650"/>
                <wp:effectExtent l="0" t="0" r="0" b="0"/>
                <wp:wrapNone/>
                <wp:docPr id="58" name="Frame5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Management is intent on maintaining a strong credit review function and risk rating process. The Company has an experienced credit administration function, which provides independent analysis of credit requests and the management of problem credits. The credit department has developed and implemented analytical procedures for evaluating credit requests, administers the Company’s risk rating system, and monitors the loan portfolio. The loan portfolio analysis process is intended to contribute to the identification of weaknesses before they become more severe.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special mention loan has potential weaknesses deserving of management’s attention. If uncorrected, such weaknesses may, at a future date, impair the repayment prospects for the asset or our credit position.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Loans that are deemed special mention, substandard, doubtful or loss are listed in the Bank’s Problem Loan Status Report. The Problem Loan Status Report provides a detailed summary of the borrower and guarantor status, loan accrual status and collateral evaluation and it includes a description of the planned collection and administration program designed to mitigate the Bank’s risk of loss and remove the loan from problem status. The Special Asset Committee reviews the Problem Loan Status Report on a quarterly basis for borrowers with an overall loan exposure in excess of $250,000.</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At March 31, 2026, the recorded investment in individually assessed loans was $52.0 million, requiring a specific reserve of $10.0 million. At December 31, 2025, the recorded investment in individually assessed loans was $52.8 million, requiring a specific reserve of $9.9 million. At March 31, 2026, nonperforming assets were $55.4 million, an increase of $1.0 million from December 31, 2025.</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Past Due Loans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past due loans balance increased $15.0 million, from $93.5 million or 3.2% of gross loans as of December 31, 2025 to $108.5 million or 3.6% of gross loans as of March 31, 2026. The increase was primarily driven by $9.7 million of increases in construction loans and $3.0 million in commercial real estate loans. During management’s quarterly review it was noted that the $9.7 million increase for construction real estate loans was driven by 3 loans from a single relationship that are 30-59 days past due. One commercial real estate loan accounted for $1.5 million of the $3.0 million increase in both total and 90+ days past due loans and is attributable to a well-known borrower with the property pending sale. Further, although the past due balance for C&amp;I loans decreased $0.8 million, there was a $3.4 million increase in loans 90+ days past due. The increase in loans past due 90 days or more was driven by a single commercial loan relationship with a balance of approximately $3.8 million, of which 80% is guaranteed by the USDA. Management believes the credit remains appropriately monitored and reflected within the allowance for credit losses.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Allowance for Credit Losses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maintain an ACL that represents management’s estimate of expected credit losses and risks inherent in our loan portfolio. The balance of the ACL is based on internally assigned risk classifications of loans, historical loss rates, changes in the nature of our loan portfolio, overall portfolio quality, industry concentrations, delinquency trends, current economic factors and the estimated impact of current economic conditions on certain historical loss rates.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continue to monitor the unique economic environment in the DC-Maryland-Virginia area with regard to the impact on our customers and credit risk. Management believes that the current ACL coverage ratio captures currently forecasted economic conditions and management’s assessment of the economic forecast through qualitative factors.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major consideration in the determination of the ACL on the credit card portfolio is based on historical loss experience in that portfolio. The Company calculates the credit card ACL collectively, applying segmentation based on collateral positions: secured, partially secured and unsecured.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28650"/>
                <wp:effectExtent l="0" t="0" r="0" b="0"/>
                <wp:wrapNone/>
                <wp:docPr id="59" name="Frame5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key ratios for the ACL and nonaccrual loans for the periods indicated:</w:t>
      </w:r>
    </w:p>
    <w:tbl>
      <w:tblPr>
        <w:tblW w:w="10205" w:type="dxa"/>
        <w:jc w:val="left"/>
        <w:tblInd w:w="0" w:type="dxa"/>
        <w:tblLayout w:type="fixed"/>
        <w:tblCellMar>
          <w:top w:w="28" w:type="dxa"/>
          <w:left w:w="28" w:type="dxa"/>
          <w:bottom w:w="28" w:type="dxa"/>
          <w:right w:w="28" w:type="dxa"/>
        </w:tblCellMar>
      </w:tblPr>
      <w:tblGrid>
        <w:gridCol w:w="518"/>
        <w:gridCol w:w="456"/>
        <w:gridCol w:w="378"/>
        <w:gridCol w:w="109"/>
        <w:gridCol w:w="109"/>
        <w:gridCol w:w="109"/>
        <w:gridCol w:w="367"/>
        <w:gridCol w:w="198"/>
        <w:gridCol w:w="464"/>
        <w:gridCol w:w="198"/>
        <w:gridCol w:w="198"/>
        <w:gridCol w:w="198"/>
        <w:gridCol w:w="391"/>
        <w:gridCol w:w="297"/>
        <w:gridCol w:w="464"/>
        <w:gridCol w:w="109"/>
        <w:gridCol w:w="109"/>
        <w:gridCol w:w="109"/>
        <w:gridCol w:w="289"/>
        <w:gridCol w:w="212"/>
        <w:gridCol w:w="390"/>
        <w:gridCol w:w="163"/>
        <w:gridCol w:w="163"/>
        <w:gridCol w:w="163"/>
        <w:gridCol w:w="307"/>
        <w:gridCol w:w="307"/>
        <w:gridCol w:w="497"/>
        <w:gridCol w:w="109"/>
        <w:gridCol w:w="109"/>
        <w:gridCol w:w="109"/>
        <w:gridCol w:w="315"/>
        <w:gridCol w:w="176"/>
        <w:gridCol w:w="414"/>
        <w:gridCol w:w="176"/>
        <w:gridCol w:w="176"/>
        <w:gridCol w:w="176"/>
        <w:gridCol w:w="328"/>
        <w:gridCol w:w="327"/>
        <w:gridCol w:w="518"/>
      </w:tblGrid>
      <w:tr>
        <w:trPr/>
        <w:tc>
          <w:tcPr>
            <w:tcW w:w="5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497" w:type="dxa"/>
            <w:gridSpan w:val="30"/>
            <w:tcBorders/>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credit losses to period end portfolio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Nonaccrual loans to total portfolio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credit losses to nonaccrual loans</w:t>
            </w:r>
          </w:p>
        </w:tc>
      </w:tr>
      <w:tr>
        <w:trPr/>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0.96 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0.97 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0.93 </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0.26 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4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4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3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4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jc w:val="right"/>
              <w:rPr>
                <w:rFonts w:ascii="Arial;sans-serif" w:hAnsi="Arial;sans-serif"/>
                <w:b w:val="false"/>
                <w:color w:val="000000"/>
                <w:sz w:val="16"/>
              </w:rPr>
            </w:pPr>
            <w:r>
              <w:rPr>
                <w:rFonts w:ascii="Arial;sans-serif" w:hAnsi="Arial;sans-serif"/>
                <w:b w:val="false"/>
                <w:color w:val="000000"/>
                <w:sz w:val="16"/>
              </w:rPr>
              <w:t>99 </w:t>
            </w:r>
          </w:p>
        </w:tc>
        <w:tc>
          <w:tcPr>
            <w:tcW w:w="4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jc w:val="right"/>
              <w:rPr>
                <w:rFonts w:ascii="Arial;sans-serif" w:hAnsi="Arial;sans-serif"/>
                <w:b w:val="false"/>
                <w:color w:val="000000"/>
                <w:sz w:val="16"/>
              </w:rPr>
            </w:pPr>
            <w:r>
              <w:rPr>
                <w:rFonts w:ascii="Arial;sans-serif" w:hAnsi="Arial;sans-serif"/>
                <w:b w:val="false"/>
                <w:color w:val="000000"/>
                <w:sz w:val="16"/>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jc w:val="right"/>
              <w:rPr>
                <w:rFonts w:ascii="Arial;sans-serif" w:hAnsi="Arial;sans-serif"/>
                <w:b w:val="false"/>
                <w:color w:val="000000"/>
                <w:sz w:val="16"/>
              </w:rPr>
            </w:pPr>
            <w:r>
              <w:rPr>
                <w:rFonts w:ascii="Arial;sans-serif" w:hAnsi="Arial;sans-serif"/>
                <w:b w:val="false"/>
                <w:color w:val="000000"/>
                <w:sz w:val="16"/>
              </w:rPr>
              <w:t>100 </w:t>
            </w:r>
          </w:p>
        </w:tc>
        <w:tc>
          <w:tcPr>
            <w:tcW w:w="5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jc w:val="right"/>
              <w:rPr>
                <w:rFonts w:ascii="Arial;sans-serif" w:hAnsi="Arial;sans-serif"/>
                <w:b w:val="false"/>
                <w:color w:val="000000"/>
                <w:sz w:val="16"/>
              </w:rPr>
            </w:pPr>
            <w:r>
              <w:rPr>
                <w:rFonts w:ascii="Arial;sans-serif" w:hAnsi="Arial;sans-serif"/>
                <w:b w:val="false"/>
                <w:color w:val="000000"/>
                <w:sz w:val="16"/>
              </w:rPr>
              <w:t>%</w:t>
            </w:r>
          </w:p>
        </w:tc>
      </w:tr>
      <w:tr>
        <w:trPr/>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March 31, 2026, the ACL coverage ratio was 1.81%, down 4 bps from December 31, 2025 and flat compared to March 31, 2025.</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Total charge-offs for the three months ended March 31, 2026 and 2025 were primarily comprised of credit card charge-offs resulting from the aging of the portfolio and continued growth in the partially secured and unsecured card portfolio. The following tables present a summary of the net charge-offs (recovery) of loans as a percentage of average loans for the periods indicated:</w:t>
      </w:r>
    </w:p>
    <w:tbl>
      <w:tblPr>
        <w:tblW w:w="10205" w:type="dxa"/>
        <w:jc w:val="center"/>
        <w:tblInd w:w="0" w:type="dxa"/>
        <w:tblLayout w:type="fixed"/>
        <w:tblCellMar>
          <w:top w:w="28" w:type="dxa"/>
          <w:left w:w="28" w:type="dxa"/>
          <w:bottom w:w="28" w:type="dxa"/>
          <w:right w:w="28" w:type="dxa"/>
        </w:tblCellMar>
      </w:tblPr>
      <w:tblGrid>
        <w:gridCol w:w="451"/>
        <w:gridCol w:w="397"/>
        <w:gridCol w:w="318"/>
        <w:gridCol w:w="109"/>
        <w:gridCol w:w="109"/>
        <w:gridCol w:w="109"/>
        <w:gridCol w:w="279"/>
        <w:gridCol w:w="792"/>
        <w:gridCol w:w="155"/>
        <w:gridCol w:w="109"/>
        <w:gridCol w:w="109"/>
        <w:gridCol w:w="109"/>
        <w:gridCol w:w="198"/>
        <w:gridCol w:w="881"/>
        <w:gridCol w:w="110"/>
        <w:gridCol w:w="109"/>
        <w:gridCol w:w="109"/>
        <w:gridCol w:w="109"/>
        <w:gridCol w:w="342"/>
        <w:gridCol w:w="241"/>
        <w:gridCol w:w="568"/>
        <w:gridCol w:w="109"/>
        <w:gridCol w:w="109"/>
        <w:gridCol w:w="109"/>
        <w:gridCol w:w="254"/>
        <w:gridCol w:w="722"/>
        <w:gridCol w:w="141"/>
        <w:gridCol w:w="109"/>
        <w:gridCol w:w="109"/>
        <w:gridCol w:w="109"/>
        <w:gridCol w:w="198"/>
        <w:gridCol w:w="881"/>
        <w:gridCol w:w="110"/>
        <w:gridCol w:w="109"/>
        <w:gridCol w:w="109"/>
        <w:gridCol w:w="109"/>
        <w:gridCol w:w="329"/>
        <w:gridCol w:w="229"/>
        <w:gridCol w:w="647"/>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Charge-Offs (Recovery)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Percent of average portfolio loans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Percent of average portfolio loans</w:t>
            </w:r>
            <w:r>
              <w:rPr>
                <w:rFonts w:ascii="Arial;sans-serif" w:hAnsi="Arial;sans-serif"/>
                <w:b/>
                <w:color w:val="000000"/>
                <w:sz w:val="10"/>
              </w:rPr>
              <w:t>(1)</w:t>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775,711 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688,528 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1,001,877 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920,894 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365,886 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322,270 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730,707 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580,372 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0.10 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3,008,187 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0.40 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2,634,110 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0.38 </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bidi w:val="0"/>
        <w:spacing w:lineRule="auto" w:line="288" w:before="0" w:after="0"/>
        <w:ind w:left="0" w:right="0" w:hanging="360"/>
        <w:jc w:val="both"/>
        <w:rPr/>
      </w:pPr>
      <w:r>
        <w:rPr>
          <w:rFonts w:ascii="Arial;sans-serif" w:hAnsi="Arial;sans-serif"/>
          <w:b w:val="false"/>
          <w:color w:val="000000"/>
          <w:sz w:val="8"/>
        </w:rPr>
        <w:t>(1)    </w:t>
      </w:r>
      <w:r>
        <w:rPr>
          <w:rFonts w:ascii="Arial;sans-serif" w:hAnsi="Arial;sans-serif"/>
          <w:b w:val="false"/>
          <w:color w:val="000000"/>
          <w:sz w:val="12"/>
        </w:rPr>
        <w:t>Annualized.</w:t>
      </w:r>
    </w:p>
    <w:p>
      <w:pPr>
        <w:pStyle w:val="TextBody"/>
        <w:bidi w:val="0"/>
        <w:spacing w:before="0" w:after="0"/>
        <w:jc w:val="left"/>
        <w:rPr/>
      </w:pPr>
      <w:r>
        <w:rPr/>
      </w:r>
    </w:p>
    <w:tbl>
      <w:tblPr>
        <w:tblW w:w="431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the loan portfolio and ACL review processes continue to evolve, there may be changes to elements of the allowance and this may influence the overall level of the allowance maintained. Historically, the Bank has maintained a high-quality loan portfolio with relatively low levels of net charge-offs and low delinquency rates. The maintenance of a high-quality portfolio will continue to be a priority.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Although we believe we have established our ACL in accordance with GAAP and that the ACL is currently adequate to provide for known and inherent losses in the portfolio, future provisions for credit losses will be subject to ongoing evaluations of the risks in our loan portfolio.</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shows the allocation of the ACL among loan categories as of the dates indicated. The total allowance is available to absorb losses from any loan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28650"/>
                <wp:effectExtent l="0" t="0" r="0" b="0"/>
                <wp:wrapNone/>
                <wp:docPr id="60" name="Frame5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218" w:type="dxa"/>
        <w:jc w:val="left"/>
        <w:tblInd w:w="0" w:type="dxa"/>
        <w:tblLayout w:type="fixed"/>
        <w:tblCellMar>
          <w:top w:w="28" w:type="dxa"/>
          <w:left w:w="28" w:type="dxa"/>
          <w:bottom w:w="28" w:type="dxa"/>
          <w:right w:w="28" w:type="dxa"/>
        </w:tblCellMar>
      </w:tblPr>
      <w:tblGrid>
        <w:gridCol w:w="926"/>
        <w:gridCol w:w="815"/>
        <w:gridCol w:w="718"/>
        <w:gridCol w:w="196"/>
        <w:gridCol w:w="661"/>
        <w:gridCol w:w="109"/>
        <w:gridCol w:w="109"/>
        <w:gridCol w:w="109"/>
        <w:gridCol w:w="109"/>
        <w:gridCol w:w="230"/>
        <w:gridCol w:w="206"/>
        <w:gridCol w:w="471"/>
        <w:gridCol w:w="109"/>
        <w:gridCol w:w="109"/>
        <w:gridCol w:w="109"/>
        <w:gridCol w:w="196"/>
        <w:gridCol w:w="646"/>
        <w:gridCol w:w="109"/>
        <w:gridCol w:w="109"/>
        <w:gridCol w:w="109"/>
        <w:gridCol w:w="109"/>
        <w:gridCol w:w="220"/>
        <w:gridCol w:w="201"/>
        <w:gridCol w:w="533"/>
      </w:tblGrid>
      <w:tr>
        <w:trPr/>
        <w:tc>
          <w:tcPr>
            <w:tcW w:w="92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Percent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Percent </w:t>
            </w:r>
            <w:r>
              <w:rPr>
                <w:rFonts w:ascii="Arial;sans-serif" w:hAnsi="Arial;sans-serif"/>
                <w:b/>
                <w:color w:val="000000"/>
                <w:sz w:val="10"/>
              </w:rPr>
              <w:t>(1)</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4759"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allowance for credit losses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54,680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240"/>
        <w:ind w:left="0" w:right="0" w:hanging="360"/>
        <w:jc w:val="both"/>
        <w:rPr/>
      </w:pPr>
      <w:r>
        <w:rPr>
          <w:rFonts w:ascii="Times New Roman;serif" w:hAnsi="Times New Roman;serif"/>
          <w:b w:val="false"/>
          <w:color w:val="000000"/>
          <w:sz w:val="8"/>
        </w:rPr>
        <w:t>(1)</w:t>
      </w:r>
      <w:r>
        <w:rPr>
          <w:rFonts w:ascii="Arial;sans-serif" w:hAnsi="Arial;sans-serif"/>
          <w:b w:val="false"/>
          <w:color w:val="000000"/>
          <w:sz w:val="12"/>
        </w:rPr>
        <w:t>Loan category as a percentage of total portfolio loans.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Total Liabilities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Total liabilities at March 31, 2026 increased $195.2 million from December 31, 2025, due to growth in the deposit portfolio of $198.8 million.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Deposits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Deposits are a major source of funding for the Company. We offer a variety of deposit products including noninterest-bearing demand, interest-bearing demand, savings, money market and time accounts, all of which we actively market at competitive pricing. We generate deposits from our customers on a relationship basis and through the efforts of our commercial relationship managers. Our credit card customers are a significant source of low cost deposits. As of March 31, 2026 and December 31, 2025, our credit card customers accounted for $165.5 million and $163.2 million, or 19.0% and 19.1%, respectively, of our total noninterest-bearing deposit balances.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Major deposit categories are as follows:</w:t>
      </w:r>
    </w:p>
    <w:tbl>
      <w:tblPr>
        <w:tblW w:w="7133" w:type="dxa"/>
        <w:jc w:val="left"/>
        <w:tblInd w:w="0" w:type="dxa"/>
        <w:tblLayout w:type="fixed"/>
        <w:tblCellMar>
          <w:top w:w="28" w:type="dxa"/>
          <w:left w:w="28" w:type="dxa"/>
          <w:bottom w:w="28" w:type="dxa"/>
          <w:right w:w="28" w:type="dxa"/>
        </w:tblCellMar>
      </w:tblPr>
      <w:tblGrid>
        <w:gridCol w:w="1179"/>
        <w:gridCol w:w="1036"/>
        <w:gridCol w:w="1040"/>
        <w:gridCol w:w="109"/>
        <w:gridCol w:w="109"/>
        <w:gridCol w:w="109"/>
        <w:gridCol w:w="227"/>
        <w:gridCol w:w="1066"/>
        <w:gridCol w:w="117"/>
        <w:gridCol w:w="109"/>
        <w:gridCol w:w="109"/>
        <w:gridCol w:w="109"/>
        <w:gridCol w:w="285"/>
        <w:gridCol w:w="1321"/>
        <w:gridCol w:w="20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2"/>
              </w:rPr>
            </w:pPr>
            <w:r>
              <w:rPr>
                <w:rFonts w:ascii="Arial;sans-serif" w:hAnsi="Arial;sans-serif"/>
                <w:b w:val="false"/>
                <w:i/>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demand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341,723</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257,233 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21,471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1,276,034</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1,105,183 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478,085</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489,687 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Brokered 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303,057</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376,677 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2,420,370</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2,240,459 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demand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871,677</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852,741 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3,292,047</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3,093,200 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had $303.1 million in brokered deposits at March 31, 2026 compared to $376.7 million at December 31, 2025. </w:t>
      </w:r>
    </w:p>
    <w:p>
      <w:pPr>
        <w:pStyle w:val="TextBody"/>
        <w:bidi w:val="0"/>
        <w:spacing w:lineRule="auto" w:line="288" w:before="0" w:after="240"/>
        <w:ind w:left="0" w:right="0" w:firstLine="360"/>
        <w:jc w:val="both"/>
        <w:rPr/>
      </w:pPr>
      <w:r>
        <w:rPr>
          <w:rFonts w:ascii="Arial;sans-serif" w:hAnsi="Arial;sans-serif"/>
          <w:b w:val="false"/>
          <w:color w:val="000000"/>
          <w:sz w:val="20"/>
        </w:rPr>
        <w:t>Deposits securing our OpenSky</w:t>
      </w:r>
      <w:r>
        <w:rPr>
          <w:color w:val="000000"/>
        </w:rPr>
        <w:t xml:space="preserve">™ </w:t>
      </w:r>
      <w:r>
        <w:rPr>
          <w:rFonts w:ascii="Arial;sans-serif" w:hAnsi="Arial;sans-serif"/>
          <w:b w:val="false"/>
          <w:color w:val="000000"/>
          <w:sz w:val="20"/>
        </w:rPr>
        <w:t>card lines of credit and deposits from title companies represent the largest product concentrations in the deposit portfolio. As of March 31, 2026, these product concentrations represented 5% and 11% of deposits, respectively. As of December 31, 2025, these deposits represented 5% and 10% of deposits,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28650"/>
                <wp:effectExtent l="0" t="0" r="0" b="0"/>
                <wp:wrapNone/>
                <wp:docPr id="61" name="Frame6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average balances and average rates paid on deposits for the periods indicated:</w:t>
      </w:r>
    </w:p>
    <w:tbl>
      <w:tblPr>
        <w:tblW w:w="9921" w:type="dxa"/>
        <w:jc w:val="left"/>
        <w:tblInd w:w="0" w:type="dxa"/>
        <w:tblLayout w:type="fixed"/>
        <w:tblCellMar>
          <w:top w:w="28" w:type="dxa"/>
          <w:left w:w="28" w:type="dxa"/>
          <w:bottom w:w="28" w:type="dxa"/>
          <w:right w:w="28" w:type="dxa"/>
        </w:tblCellMar>
      </w:tblPr>
      <w:tblGrid>
        <w:gridCol w:w="1174"/>
        <w:gridCol w:w="1036"/>
        <w:gridCol w:w="1045"/>
        <w:gridCol w:w="354"/>
        <w:gridCol w:w="1663"/>
        <w:gridCol w:w="182"/>
        <w:gridCol w:w="182"/>
        <w:gridCol w:w="182"/>
        <w:gridCol w:w="182"/>
        <w:gridCol w:w="263"/>
        <w:gridCol w:w="263"/>
        <w:gridCol w:w="454"/>
        <w:gridCol w:w="109"/>
        <w:gridCol w:w="109"/>
        <w:gridCol w:w="109"/>
        <w:gridCol w:w="211"/>
        <w:gridCol w:w="976"/>
        <w:gridCol w:w="109"/>
        <w:gridCol w:w="109"/>
        <w:gridCol w:w="109"/>
        <w:gridCol w:w="109"/>
        <w:gridCol w:w="255"/>
        <w:gridCol w:w="256"/>
        <w:gridCol w:w="480"/>
      </w:tblGrid>
      <w:tr>
        <w:trPr/>
        <w:tc>
          <w:tcPr>
            <w:tcW w:w="117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For the Year Ended</w:t>
              <w:br/>
              <w:t>December 31, 2025</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(in thousands)</w:t>
            </w:r>
          </w:p>
        </w:tc>
        <w:tc>
          <w:tcPr>
            <w:tcW w:w="2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Balance</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Average </w:t>
            </w:r>
          </w:p>
          <w:p>
            <w:pPr>
              <w:pStyle w:val="TableContents"/>
              <w:bidi w:val="0"/>
              <w:spacing w:lineRule="auto" w:line="240" w:before="0" w:after="0"/>
              <w:jc w:val="center"/>
              <w:rPr/>
            </w:pPr>
            <w:r>
              <w:rPr>
                <w:rFonts w:ascii="Arial;sans-serif" w:hAnsi="Arial;sans-serif"/>
                <w:b/>
                <w:color w:val="000000"/>
                <w:sz w:val="16"/>
              </w:rPr>
              <w:t>Rate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Average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Average </w:t>
              <w:br/>
              <w:t>Rate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demand accounts</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263,645</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0.64</w:t>
            </w:r>
            <w:r>
              <w:rPr>
                <w:color w:val="000000"/>
              </w:rPr>
              <w:t>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w:t>
            </w:r>
          </w:p>
        </w:tc>
        <w:tc>
          <w:tcPr>
            <w:tcW w:w="2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13,701</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0.89</w:t>
            </w: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accounts</w:t>
            </w:r>
          </w:p>
        </w:tc>
        <w:tc>
          <w:tcPr>
            <w:tcW w:w="2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1,189,642</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3.23</w:t>
            </w: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4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w:t>
            </w:r>
          </w:p>
        </w:tc>
        <w:tc>
          <w:tcPr>
            <w:tcW w:w="2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842,137</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3.92</w:t>
            </w: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4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deposits</w:t>
            </w:r>
          </w:p>
        </w:tc>
        <w:tc>
          <w:tcPr>
            <w:tcW w:w="2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2,309,125</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3.17</w:t>
            </w:r>
            <w:r>
              <w:rPr>
                <w:color w:val="000000"/>
              </w:rPr>
              <w:t>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demand accounts</w:t>
            </w:r>
          </w:p>
        </w:tc>
        <w:tc>
          <w:tcPr>
            <w:tcW w:w="2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821,267</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3,130,392</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2.34</w:t>
            </w:r>
            <w:r>
              <w:rPr>
                <w:color w:val="000000"/>
              </w:rPr>
              <w:t>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2,880,540 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bidi w:val="0"/>
        <w:spacing w:lineRule="auto" w:line="288" w:before="0" w:after="0"/>
        <w:ind w:left="0" w:right="0" w:hanging="360"/>
        <w:jc w:val="both"/>
        <w:rPr/>
      </w:pPr>
      <w:r>
        <w:rPr>
          <w:rFonts w:ascii="Arial;sans-serif" w:hAnsi="Arial;sans-serif"/>
          <w:b w:val="false"/>
          <w:color w:val="000000"/>
          <w:sz w:val="8"/>
        </w:rPr>
        <w:t>(1)    </w:t>
      </w:r>
      <w:r>
        <w:rPr>
          <w:rFonts w:ascii="Arial;sans-serif" w:hAnsi="Arial;sans-serif"/>
          <w:b w:val="false"/>
          <w:color w:val="000000"/>
          <w:sz w:val="12"/>
        </w:rPr>
        <w:t>Annualized.</w:t>
      </w:r>
    </w:p>
    <w:p>
      <w:pPr>
        <w:pStyle w:val="TextBody"/>
        <w:bidi w:val="0"/>
        <w:spacing w:before="0" w:after="240"/>
        <w:jc w:val="left"/>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Deposit costs decreased 13 basis points during the three months ended March 31, 2026, as compared to the year ended December 31, 2025, primarily driven by a shift in the product mix of the portfolio and changes in the rate environment.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Noninterest-bearing deposits represented 26.5% of total deposits at March 31, 2026 compared to 27.57% at December 31, 2025. Insured and protected deposits (including deposits that are indirectly protected under the product terms) were approximately $2.3 billion as of March 31, 2026, representing 69.4% of the Company’s deposit portfolio. The insured and protected amounts are estimates based on the methodologies and assumptions used for the Bank’s regulatory reporting requirements.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following table presents the maturities of our certificates of deposit, including brokered and customer deposits as of March 31, 2026. </w:t>
      </w:r>
    </w:p>
    <w:tbl>
      <w:tblPr>
        <w:tblW w:w="8717" w:type="dxa"/>
        <w:jc w:val="center"/>
        <w:tblInd w:w="0" w:type="dxa"/>
        <w:tblLayout w:type="fixed"/>
        <w:tblCellMar>
          <w:top w:w="28" w:type="dxa"/>
          <w:left w:w="28" w:type="dxa"/>
          <w:bottom w:w="28" w:type="dxa"/>
          <w:right w:w="28" w:type="dxa"/>
        </w:tblCellMar>
      </w:tblPr>
      <w:tblGrid>
        <w:gridCol w:w="627"/>
        <w:gridCol w:w="554"/>
        <w:gridCol w:w="55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62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w:t>
              <w:br/>
              <w:t xml:space="preserve">Months or </w:t>
              <w:br/>
              <w:t>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Over</w:t>
              <w:br/>
              <w:t>Three</w:t>
              <w:br/>
              <w:t>Through</w:t>
              <w:br/>
              <w:t>Six</w:t>
              <w:b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Over Six</w:t>
              <w:br/>
              <w:t>Through</w:t>
              <w:br/>
              <w:t>Twelve</w:t>
              <w:b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Over</w:t>
              <w:br/>
              <w:t>Twelve</w:t>
              <w:b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6978" w:type="dxa"/>
            <w:gridSpan w:val="27"/>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$250,000 or more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than $250,000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781,142 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Borrowings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utilize short-term and long-term borrowings to supplement deposits to fund our lending and investment activities, each of which is discussed below. Total borrowings of $52.1 million at March 31, 2026 remained the same compared to December 31, 2025.</w:t>
      </w:r>
    </w:p>
    <w:p>
      <w:pPr>
        <w:pStyle w:val="TextBody"/>
        <w:bidi w:val="0"/>
        <w:spacing w:lineRule="auto" w:line="288" w:before="0" w:after="240"/>
        <w:ind w:left="0" w:right="0" w:firstLine="360"/>
        <w:jc w:val="both"/>
        <w:rPr/>
      </w:pPr>
      <w:r>
        <w:rPr>
          <w:rFonts w:ascii="Arial;sans-serif" w:hAnsi="Arial;sans-serif"/>
          <w:b w:val="false"/>
          <w:i/>
          <w:color w:val="000000"/>
          <w:sz w:val="20"/>
        </w:rPr>
        <w:t>FHLB Advances</w:t>
      </w:r>
      <w:r>
        <w:rPr>
          <w:rFonts w:ascii="Arial;sans-serif" w:hAnsi="Arial;sans-serif"/>
          <w:b w:val="false"/>
          <w:color w:val="000000"/>
          <w:sz w:val="20"/>
        </w:rPr>
        <w:t>. The Federal Home Loan Bank (“FHLB”) provides the Company with secured borrowing capacity collateralized by eligible loans and investment securities pledged under a blanket lien arrangement. As of March 31, 2026, approximately $513.5 million of loans and $119.3 million of investment securities were pledged as collateral to the FHLB, supporting total borrowing capacity of $632.8 million. The Company utilizes FHLB advances to support liquidity management and overall balance-sheet positioning, including funding certain fixed-rate loans. As of March 31, 2026, the Company had $50.0 million in outstanding FHLB advances and $582.8 million of available borrowing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28650"/>
                <wp:effectExtent l="0" t="0" r="0" b="0"/>
                <wp:wrapNone/>
                <wp:docPr id="62" name="Frame6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pPr>
      <w:r>
        <w:rPr>
          <w:rFonts w:ascii="Arial;sans-serif" w:hAnsi="Arial;sans-serif"/>
          <w:b w:val="false"/>
          <w:i/>
          <w:color w:val="000000"/>
          <w:sz w:val="20"/>
        </w:rPr>
        <w:t>Other Borrowed Funds.</w:t>
      </w:r>
      <w:r>
        <w:rPr>
          <w:color w:val="000000"/>
        </w:rPr>
        <w:t xml:space="preserve"> </w:t>
      </w:r>
      <w:r>
        <w:rPr>
          <w:rFonts w:ascii="Arial;sans-serif" w:hAnsi="Arial;sans-serif"/>
          <w:b w:val="false"/>
          <w:color w:val="000000"/>
          <w:sz w:val="20"/>
        </w:rPr>
        <w:t>The Company has also issued junior subordinated debentures. At March 31, 2026, these other borrowings amounted to $2.1 million, consisting of Floating Rate Junior Subordinated Deferrable Interest Debentures (the “Floating Rate Debentures”). The Floating Rate Debentures were issued in June of 2006, mature on June 15, 2036, and may be redeemed prior to that date under certain circumstances. The principal amount of the Floating Rate Debentures has not changed since issuance, and they accrue interest at a floating rate equal to the three-month CME Term SOFR plus a spread adjustment of 0.26161% (or 26.161 basis points) plus 187 basis points, payable quarterly. As of March 31, 2026, the rate for the Floating Rate Debentures was 5.81%.</w:t>
      </w:r>
    </w:p>
    <w:p>
      <w:pPr>
        <w:pStyle w:val="TextBody"/>
        <w:bidi w:val="0"/>
        <w:spacing w:lineRule="auto" w:line="288" w:before="0" w:after="240"/>
        <w:ind w:left="0" w:right="0" w:firstLine="360"/>
        <w:jc w:val="both"/>
        <w:rPr/>
      </w:pPr>
      <w:r>
        <w:rPr>
          <w:rFonts w:ascii="Arial;sans-serif" w:hAnsi="Arial;sans-serif"/>
          <w:b w:val="false"/>
          <w:i/>
          <w:color w:val="000000"/>
          <w:sz w:val="20"/>
        </w:rPr>
        <w:t>Federal Reserve Bank of Richmond.</w:t>
      </w:r>
      <w:r>
        <w:rPr>
          <w:color w:val="000000"/>
        </w:rPr>
        <w:t xml:space="preserve"> </w:t>
      </w:r>
      <w:r>
        <w:rPr>
          <w:rFonts w:ascii="Arial;sans-serif" w:hAnsi="Arial;sans-serif"/>
          <w:b w:val="false"/>
          <w:color w:val="000000"/>
          <w:sz w:val="20"/>
        </w:rPr>
        <w:t>The Federal Reserve Bank of Richmond provides access to liquidity under the Federal Reserve’s discount window through borrower-in-custody (“BIC”) and national book-entry (”NBE”) arrangements, which allow us to borrow on a collateralized basis using different types of collateral. The Company’s borrowing capacity under the Federal Reserve’s discount window was $122.5 million as of March 31, 2026.</w:t>
      </w:r>
    </w:p>
    <w:p>
      <w:pPr>
        <w:pStyle w:val="TextBody"/>
        <w:bidi w:val="0"/>
        <w:spacing w:lineRule="auto" w:line="288" w:before="0" w:after="240"/>
        <w:ind w:left="0" w:right="0" w:firstLine="360"/>
        <w:jc w:val="both"/>
        <w:rPr/>
      </w:pPr>
      <w:r>
        <w:rPr>
          <w:rFonts w:ascii="Arial;sans-serif" w:hAnsi="Arial;sans-serif"/>
          <w:b w:val="false"/>
          <w:i/>
          <w:color w:val="000000"/>
          <w:sz w:val="20"/>
        </w:rPr>
        <w:t xml:space="preserve">Other Borrowings. </w:t>
      </w:r>
      <w:r>
        <w:rPr>
          <w:rFonts w:ascii="Arial;sans-serif" w:hAnsi="Arial;sans-serif"/>
          <w:b w:val="false"/>
          <w:color w:val="000000"/>
          <w:sz w:val="20"/>
        </w:rPr>
        <w:t>The Company also has available lines of credit of $96.0 million with other correspondent banks at March 31, 2026, as well as access to certificate of deposit funding through financial intermediaries. There were no outstanding balances on the lines of credit from correspondent banks at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Liquidity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Liquidity is defined as the Bank’s capacity to meet its cash and collateral obligations at a reasonable cost. Maintaining an adequate level of liquidity depends on the Bank’s ability to meet both expected and unexpected cash flows and collateral needs efficiently and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endeavors to anticipate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operational, legal and reputational risks also could affect the Bank’s liquidity risk profile and are considered in the assessment of liquidity and asset/liability management.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Management has established a risk management process for identifying, measuring, monitoring and controlling liquidity risk. Because of its critical importance to the viability of the Bank, liquidity risk management is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holding liquid marketable securities that can be used to meet liquidity needs in situations of stress; contingency funding plans that address potential adverse liquidity events and emergency cash flow requirements; and internal controls and internal audit processes believed to be sufficient to assure the adequacy of the institution’s liquidity risk management process.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28650"/>
                <wp:effectExtent l="0" t="0" r="0" b="0"/>
                <wp:wrapNone/>
                <wp:docPr id="63" name="Frame6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March 31, 2026, we had $582.8 million of available borrowing capacity from the FHLB and $122.5 million of available borrowing capacity from the Federal Reserve Bank of Richmond through its discount window arrangement, secured by pledged commercial loans and securities. The Company also maintained $96.0 million of available unsecured lines of credit with other correspondent banks. Unpledged investment securities available as collateral for potential additional borrowings totaled $8.2 million at March 31, 2026. Cash and cash equivalents were $399.3 million at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Capital Resources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Stockholders’ equity increased $7.1 million for the period ended March 31, 2026 compared to December 31, 2025 largely due to net income of $12.0 million for the three months ended March 31, 2026. Shares repurchased and retired for the three months ended March 31, 2026, as part of the Company’s stock repurchase program, totaled 122,757 shares at an average price of $28.89, for a total cost of $3.5 million including commissions. There is $12.4 million remaining to be repurchased under the stock repurchase plan authorized and approved in March 2026. The stock repurchase program will expire on December 31, 2026, but may be limited or terminated at any time without prior notice.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Company’s total stockholders’ equity is affected by fluctuations in the fair values of investment securities available-for-sale. The difference between amortized cost and fair value of investment securities, net of deferred income tax, is included in accumulated other comprehensive loss within stockholders’ equity. Accumulated other comprehensive loss is excluded from the Bank’s and Company’s regulatory capital ratios. The balance in accumulated other comprehensive loss related to unrealized losses on available-for-sale debt securities, net of deferred income tax, amounted to $6.4 million at March 31, 2026 and $5.8 million at December 31, 2025. Changes in accumulated other comprehensive loss are excluded from earnings and directly increase or decrease stockholders’ equity. To the extent unrealized losses on investment securities available-for-sale result from credit losses, unrealized losses are recorded as a charge against earnings. The investment securities section of the MD&amp;A and Notes 1 and 2 to the “Notes to the Unaudited Consolidated Financial Statements” provide additional information concerning management’s evaluation of investment securities available-for-sale for credit losses at March 31, 2026.</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uses several indicators of capital strength. The most commonly used measure is common equity to total assets (computed as equity divided by total assets), which was 10.74% at March 31, 2026 and 11.14% at December 31, 2025.</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Bank is subject to various regulatory capital requirements administered by the federal banking agencies. Failure to meet minimum capital requirements can precipitate certain mandatory and possibly additional discretionary actions by regulators that, if undertaken, could have a material effect on the Company’s financial condition.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Quantitative measures established by regulation to ensure capital adequacy require the Bank to maintain minimum ratios of common equity Tier 1, Tier 1, and total capital as a percentage of assets and off-balance sheet exposures, adjusted for risk weights ranging from 0% to 1,250%. The Bank is also required to maintain capital at a minimum level based on quarterly average assets, which is known as the leverage ratio.</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ability of the Company to continue to grow is dependent on its earnings and those of the Bank, and the ability to obtain additional funds for contribution to the Bank’s capital, through additional borrowings, through the sale of additional common stock or preferred stock, or through the issuance of additional qualifying capital instruments, such as subordinated debt. The capital levels required to be maintained by the Company and Bank may be impacted as a result of the Bank’s concentrations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28650"/>
                <wp:effectExtent l="0" t="0" r="0" b="0"/>
                <wp:wrapNone/>
                <wp:docPr id="64" name="Frame6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commercial real estate loans. See "Risks Related to Our Operations and the Regulation of Our Industry” in Part I, Item 1A - Risk Factors in the Annual Report on Form 10-K for the year ended December 31, 2025.</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March 31, 2026, the Company and the Bank were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relative to our earnings in order to remain in compliance with all regulatory capital standards applicable to us.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regulatory capital ratios for the Company and the Bank as of the dates indicated.</w:t>
      </w:r>
    </w:p>
    <w:tbl>
      <w:tblPr>
        <w:tblW w:w="10205" w:type="dxa"/>
        <w:jc w:val="center"/>
        <w:tblInd w:w="0" w:type="dxa"/>
        <w:tblLayout w:type="fixed"/>
        <w:tblCellMar>
          <w:top w:w="28" w:type="dxa"/>
          <w:left w:w="28" w:type="dxa"/>
          <w:bottom w:w="28" w:type="dxa"/>
          <w:right w:w="28" w:type="dxa"/>
        </w:tblCellMar>
      </w:tblPr>
      <w:tblGrid>
        <w:gridCol w:w="931"/>
        <w:gridCol w:w="600"/>
        <w:gridCol w:w="605"/>
        <w:gridCol w:w="109"/>
        <w:gridCol w:w="109"/>
        <w:gridCol w:w="109"/>
        <w:gridCol w:w="196"/>
        <w:gridCol w:w="751"/>
        <w:gridCol w:w="109"/>
        <w:gridCol w:w="109"/>
        <w:gridCol w:w="109"/>
        <w:gridCol w:w="109"/>
        <w:gridCol w:w="285"/>
        <w:gridCol w:w="286"/>
        <w:gridCol w:w="278"/>
        <w:gridCol w:w="109"/>
        <w:gridCol w:w="109"/>
        <w:gridCol w:w="109"/>
        <w:gridCol w:w="196"/>
        <w:gridCol w:w="751"/>
        <w:gridCol w:w="109"/>
        <w:gridCol w:w="109"/>
        <w:gridCol w:w="109"/>
        <w:gridCol w:w="109"/>
        <w:gridCol w:w="240"/>
        <w:gridCol w:w="241"/>
        <w:gridCol w:w="278"/>
        <w:gridCol w:w="109"/>
        <w:gridCol w:w="109"/>
        <w:gridCol w:w="109"/>
        <w:gridCol w:w="196"/>
        <w:gridCol w:w="751"/>
        <w:gridCol w:w="109"/>
        <w:gridCol w:w="109"/>
        <w:gridCol w:w="109"/>
        <w:gridCol w:w="109"/>
        <w:gridCol w:w="284"/>
        <w:gridCol w:w="287"/>
        <w:gridCol w:w="278"/>
        <w:gridCol w:w="109"/>
        <w:gridCol w:w="109"/>
        <w:gridCol w:w="109"/>
        <w:gridCol w:w="155"/>
      </w:tblGrid>
      <w:tr>
        <w:trPr/>
        <w:tc>
          <w:tcPr>
            <w:tcW w:w="93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Minimum Capital</w:t>
              <w:br/>
              <w:t>Adequacy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To Be Well</w:t>
              <w:br/>
              <w:t>Capitalized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leverage ratio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379,490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10.48</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144,848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4.00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181,060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5.00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379,490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12.99</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175,326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233,768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Common equity tier 1 capital ratio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377,428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12.92</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131,495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4.50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189,937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6.50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capital ratio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416,260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14.25</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233,768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292,210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10.00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The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leverage ratio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322,061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9.00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143,072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4.00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178,840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5.00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322,061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11.26</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171,665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228,886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Common equity tier 1 capital ratio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322,061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11.26</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128,749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4.50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185,970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6.50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capital ratio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358,071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12.52</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228,886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286,108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10.00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leverage ratio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10.71 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13.05 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Common equity tier 1 capital ratio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369,576 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128,126 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capital ratio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407,481 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14.31 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The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leverage ratio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9.24 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316,082 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11.34 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Common equity tier 1 capital ratio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11.34 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125,405 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capital ratio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12.60 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278,678 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contractual obligations to make future payments on debt and lease agreements. Our liquidity monitoring and management consider both present and future demands for and sources of liquidity. The Company experienced no material changes in contractual obligations related to long-term borrowings, operating leases, and other commitments from December 31, 2025. Management believes that cash flows from operations and available liquidity sources will be sufficient to meet these obligations as they come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28650"/>
                <wp:effectExtent l="0" t="0" r="0" b="0"/>
                <wp:wrapNone/>
                <wp:docPr id="65" name="Frame6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Off-Balance Sheet Items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generally used in making these commitments as for on-balance sheet instruments. We are not aware of any accounting loss to be incurred by funding these commitments; however, we maintain a reserve for unfunded commitments and certain off-balance sheet credit risks, which is recorded in other liabilities on the consolidated balance sheet.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actual future cash funding requirements.</w:t>
      </w:r>
    </w:p>
    <w:tbl>
      <w:tblPr>
        <w:tblW w:w="7375" w:type="dxa"/>
        <w:jc w:val="center"/>
        <w:tblInd w:w="0" w:type="dxa"/>
        <w:tblLayout w:type="fixed"/>
        <w:tblCellMar>
          <w:top w:w="28" w:type="dxa"/>
          <w:left w:w="28" w:type="dxa"/>
          <w:bottom w:w="28" w:type="dxa"/>
          <w:right w:w="28" w:type="dxa"/>
        </w:tblCellMar>
      </w:tblPr>
      <w:tblGrid>
        <w:gridCol w:w="1170"/>
        <w:gridCol w:w="1029"/>
        <w:gridCol w:w="1040"/>
        <w:gridCol w:w="313"/>
        <w:gridCol w:w="1250"/>
        <w:gridCol w:w="162"/>
        <w:gridCol w:w="109"/>
        <w:gridCol w:w="109"/>
        <w:gridCol w:w="109"/>
        <w:gridCol w:w="369"/>
        <w:gridCol w:w="1446"/>
        <w:gridCol w:w="269"/>
      </w:tblGrid>
      <w:tr>
        <w:trPr/>
        <w:tc>
          <w:tcPr>
            <w:tcW w:w="117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41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Unfunded lines of credit</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474,960</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455,666 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Letters of credit</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1,633</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 to fund other investments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2,714</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credit extension commitments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479,307</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460,013 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Unfunded lines of credit represent unused credit facilities to our current borrowers. Lines of credit generally have variable interest rates. Letters of credit are conditional commitments issued by us to guarantee the performance of a customer to a third party.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customer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 We believe the credit risk associated with issuing letters of credit is substantially the same as the risk involved in extending loan facilities to our customers.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seek to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we do not control the extent to which the lines of credit may be used.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Commitments to extend credit are agreements to lend funds to a customer, as long as there is no violation of any condition established in the contract.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commitment to fund other investments reflects an obligation to make an investment in a Small Business Investment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28650"/>
                <wp:effectExtent l="0" t="0" r="0" b="0"/>
                <wp:wrapNone/>
                <wp:docPr id="66" name="Frame6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color w:val="000000"/>
          <w:sz w:val="20"/>
        </w:rPr>
      </w:pPr>
      <w:r>
        <w:rPr>
          <w:rFonts w:ascii="Arial;sans-serif" w:hAnsi="Arial;sans-serif"/>
          <w:b/>
          <w:color w:val="000000"/>
          <w:sz w:val="20"/>
        </w:rPr>
        <w:t xml:space="preserve">Impact of Inflation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consolidated financial statements and related notes included elsewhere in this Quarterly Report on Form 10-Q have been prepared in accordance with GAAP. GAAP requires the measurement of financial position and operating results in terms of historical dollars, without considering changes in the relative value of money over time due to inflation or recession.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Unlike many industrial companies, substantially all of the Company’s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most other operating expenses are sensitive to changes in levels of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Non-GAAP Financial Measures and Reconciliations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has presented the following non-GAAP financial measures because it believes that these non-GAAP financial measures provide useful information to investors because they are used by management to evaluate our operating performance and make day-to-day operating decisions. In addition, we believe our non-GAAP results in any given reporting period reflect our on-going financial performance in that period and, accordingly, are useful to consider in addition to our GAAP financial results. We further believe the presentation of non-GAAP results increases comparability of period-to-period results.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Other companies may use similarly titled non-GAAP financial measures that may be calculated differently from the way we calculate such measures. Accordingly, our non-GAAP financial measures may not be comparable to similar measures used by such companies. We caution investors not to place undue reliance on such non-GAAP financial measures, but to consider them with the most directly comparable GAAP measures. Non-GAAP financial measures have limitations as analytical tools and should not be considered in isolation or as a substitute for our results reported under GAAP.</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28650"/>
                <wp:effectExtent l="0" t="0" r="0" b="0"/>
                <wp:wrapNone/>
                <wp:docPr id="67" name="Frame6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099" w:type="dxa"/>
        <w:jc w:val="left"/>
        <w:tblInd w:w="0" w:type="dxa"/>
        <w:tblLayout w:type="fixed"/>
        <w:tblCellMar>
          <w:top w:w="28" w:type="dxa"/>
          <w:left w:w="28" w:type="dxa"/>
          <w:bottom w:w="28" w:type="dxa"/>
          <w:right w:w="28" w:type="dxa"/>
        </w:tblCellMar>
      </w:tblPr>
      <w:tblGrid>
        <w:gridCol w:w="1321"/>
        <w:gridCol w:w="1160"/>
        <w:gridCol w:w="1164"/>
        <w:gridCol w:w="196"/>
        <w:gridCol w:w="871"/>
        <w:gridCol w:w="256"/>
        <w:gridCol w:w="109"/>
        <w:gridCol w:w="109"/>
        <w:gridCol w:w="109"/>
        <w:gridCol w:w="196"/>
        <w:gridCol w:w="871"/>
        <w:gridCol w:w="256"/>
        <w:gridCol w:w="109"/>
        <w:gridCol w:w="109"/>
        <w:gridCol w:w="109"/>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Earnings Metrics</w:t>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 except per share data)</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Merger-Related Expenses, Net of Tax</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Common Shares - 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Earnings per Share -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3,651,812 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3,221,964 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Return on Average Assets</w:t>
            </w:r>
            <w:r>
              <w:rPr>
                <w:rFonts w:ascii="Arial;sans-serif" w:hAnsi="Arial;sans-serif"/>
                <w:b/>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Core Return on Average Assets</w:t>
            </w:r>
            <w:r>
              <w:rPr>
                <w:rFonts w:ascii="Arial;sans-serif" w:hAnsi="Arial;sans-serif"/>
                <w:b/>
                <w:color w:val="000000"/>
                <w:sz w:val="10"/>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Equity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405,302 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363,115 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Return on Average Equity</w:t>
            </w:r>
            <w:r>
              <w:rPr>
                <w:rFonts w:ascii="Arial;sans-serif" w:hAnsi="Arial;sans-serif"/>
                <w:b/>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Core Return on Average Equity</w:t>
            </w:r>
            <w:r>
              <w:rPr>
                <w:rFonts w:ascii="Arial;sans-serif" w:hAnsi="Arial;sans-serif"/>
                <w:b/>
                <w:color w:val="000000"/>
                <w:sz w:val="10"/>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62,771 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58,596 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Efficiency Ratio</w:t>
            </w:r>
            <w:r>
              <w:rPr>
                <w:rFonts w:ascii="Arial;sans-serif" w:hAnsi="Arial;sans-serif"/>
                <w:b/>
                <w:color w:val="000000"/>
                <w:sz w:val="10"/>
              </w:rPr>
              <w:t>(2)</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Fee Revenue (b)</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Revenue (a) + (b)</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62,771 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58,596 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Merger-Related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Noninterest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43,681 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36,787 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Core Efficiency Ratio </w:t>
            </w:r>
            <w:r>
              <w:rPr>
                <w:rFonts w:ascii="Arial;sans-serif" w:hAnsi="Arial;sans-serif"/>
                <w:b/>
                <w:color w:val="000000"/>
                <w:sz w:val="10"/>
              </w:rPr>
              <w:t>(2)</w:t>
            </w:r>
          </w:p>
        </w:tc>
        <w:tc>
          <w:tcPr>
            <w:tcW w:w="10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69.59 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62.78 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bidi w:val="0"/>
        <w:spacing w:lineRule="auto" w:line="288" w:before="0" w:after="0"/>
        <w:ind w:left="0" w:right="0" w:hanging="360"/>
        <w:jc w:val="both"/>
        <w:rPr/>
      </w:pPr>
      <w:r>
        <w:rPr>
          <w:rFonts w:ascii="Arial;sans-serif" w:hAnsi="Arial;sans-serif"/>
          <w:b w:val="false"/>
          <w:color w:val="000000"/>
          <w:sz w:val="8"/>
        </w:rPr>
        <w:t>(1)    </w:t>
      </w:r>
      <w:r>
        <w:rPr>
          <w:rFonts w:ascii="Arial;sans-serif" w:hAnsi="Arial;sans-serif"/>
          <w:b w:val="false"/>
          <w:color w:val="000000"/>
          <w:sz w:val="12"/>
        </w:rPr>
        <w:t>Annualized.</w:t>
      </w:r>
    </w:p>
    <w:p>
      <w:pPr>
        <w:pStyle w:val="TextBody"/>
        <w:bidi w:val="0"/>
        <w:spacing w:lineRule="auto" w:line="288" w:before="0" w:after="0"/>
        <w:ind w:left="0" w:right="0" w:hanging="360"/>
        <w:jc w:val="both"/>
        <w:rPr/>
      </w:pPr>
      <w:r>
        <w:rPr>
          <w:rFonts w:ascii="Arial;sans-serif" w:hAnsi="Arial;sans-serif"/>
          <w:b w:val="false"/>
          <w:color w:val="000000"/>
          <w:sz w:val="8"/>
        </w:rPr>
        <w:t>(2)    </w:t>
      </w:r>
      <w:r>
        <w:rPr>
          <w:rFonts w:ascii="Arial;sans-serif" w:hAnsi="Arial;sans-serif"/>
          <w:b w:val="false"/>
          <w:color w:val="000000"/>
          <w:sz w:val="12"/>
        </w:rPr>
        <w:t>The efficiency ratio is calculated by dividing noninterest expense by total revenue (net interest income plus noninterest income).</w:t>
      </w:r>
    </w:p>
    <w:p>
      <w:pPr>
        <w:pStyle w:val="TextBody"/>
        <w:bidi w:val="0"/>
        <w:spacing w:before="0" w:after="240"/>
        <w:jc w:val="both"/>
        <w:rPr/>
      </w:pPr>
      <w:r>
        <w:rPr/>
      </w:r>
    </w:p>
    <w:tbl>
      <w:tblPr>
        <w:tblW w:w="6401" w:type="dxa"/>
        <w:jc w:val="left"/>
        <w:tblInd w:w="0" w:type="dxa"/>
        <w:tblLayout w:type="fixed"/>
        <w:tblCellMar>
          <w:top w:w="28" w:type="dxa"/>
          <w:left w:w="28" w:type="dxa"/>
          <w:bottom w:w="28" w:type="dxa"/>
          <w:right w:w="28" w:type="dxa"/>
        </w:tblCellMar>
      </w:tblPr>
      <w:tblGrid>
        <w:gridCol w:w="1114"/>
        <w:gridCol w:w="977"/>
        <w:gridCol w:w="984"/>
        <w:gridCol w:w="210"/>
        <w:gridCol w:w="933"/>
        <w:gridCol w:w="116"/>
        <w:gridCol w:w="109"/>
        <w:gridCol w:w="109"/>
        <w:gridCol w:w="109"/>
        <w:gridCol w:w="210"/>
        <w:gridCol w:w="933"/>
        <w:gridCol w:w="116"/>
        <w:gridCol w:w="109"/>
        <w:gridCol w:w="109"/>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Net Interest Margin</w:t>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Credit Card Loan Income</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Interest Income</w:t>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Interest Earning Assets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3,509,115 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3,087,943 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Credit Card Loans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Core Interest Earning Assets</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3,375,403 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2,969,220 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Interest Margin</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28650"/>
                <wp:effectExtent l="0" t="0" r="0" b="0"/>
                <wp:wrapNone/>
                <wp:docPr id="68" name="Frame6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271" w:type="dxa"/>
        <w:jc w:val="left"/>
        <w:tblInd w:w="0" w:type="dxa"/>
        <w:tblLayout w:type="fixed"/>
        <w:tblCellMar>
          <w:top w:w="28" w:type="dxa"/>
          <w:left w:w="28" w:type="dxa"/>
          <w:bottom w:w="28" w:type="dxa"/>
          <w:right w:w="28" w:type="dxa"/>
        </w:tblCellMar>
      </w:tblPr>
      <w:tblGrid>
        <w:gridCol w:w="1428"/>
        <w:gridCol w:w="1254"/>
        <w:gridCol w:w="1263"/>
        <w:gridCol w:w="210"/>
        <w:gridCol w:w="933"/>
        <w:gridCol w:w="116"/>
        <w:gridCol w:w="109"/>
        <w:gridCol w:w="109"/>
        <w:gridCol w:w="109"/>
        <w:gridCol w:w="210"/>
        <w:gridCol w:w="933"/>
        <w:gridCol w:w="116"/>
        <w:gridCol w:w="109"/>
        <w:gridCol w:w="109"/>
        <w:gridCol w:w="109"/>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Loan Yield</w:t>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Portfolio Loans Receivable Interest Income</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Credit Card Loan Income</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Portfolio Loans Receivable Interest Income</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Portfolio Loans Receivable</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3,008,187 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2,634,110 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Credit Card Loans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Core Average Portfolio Loans Receivable</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2,874,475 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2,515,387 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Portfolio Loans Receivable Yield</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825" w:type="dxa"/>
        <w:jc w:val="left"/>
        <w:tblInd w:w="0" w:type="dxa"/>
        <w:tblLayout w:type="fixed"/>
        <w:tblCellMar>
          <w:top w:w="28" w:type="dxa"/>
          <w:left w:w="28" w:type="dxa"/>
          <w:bottom w:w="28" w:type="dxa"/>
          <w:right w:w="28" w:type="dxa"/>
        </w:tblCellMar>
      </w:tblPr>
      <w:tblGrid>
        <w:gridCol w:w="1630"/>
        <w:gridCol w:w="1432"/>
        <w:gridCol w:w="1437"/>
        <w:gridCol w:w="259"/>
        <w:gridCol w:w="856"/>
        <w:gridCol w:w="144"/>
        <w:gridCol w:w="109"/>
        <w:gridCol w:w="109"/>
        <w:gridCol w:w="109"/>
        <w:gridCol w:w="259"/>
        <w:gridCol w:w="856"/>
        <w:gridCol w:w="144"/>
        <w:gridCol w:w="109"/>
        <w:gridCol w:w="109"/>
        <w:gridCol w:w="109"/>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Pre-tax, Pre-Provision Net Revenue ("PPNR")</w:t>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Income Tax Expense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Credit Losses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Credit Losses on Unfunded Commitments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Pre-tax, Pre-Provision Net Revenue ("PPNR")</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19,090 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20,543 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825" w:type="dxa"/>
        <w:jc w:val="left"/>
        <w:tblInd w:w="0" w:type="dxa"/>
        <w:tblLayout w:type="fixed"/>
        <w:tblCellMar>
          <w:top w:w="28" w:type="dxa"/>
          <w:left w:w="28" w:type="dxa"/>
          <w:bottom w:w="28" w:type="dxa"/>
          <w:right w:w="28" w:type="dxa"/>
        </w:tblCellMar>
      </w:tblPr>
      <w:tblGrid>
        <w:gridCol w:w="1627"/>
        <w:gridCol w:w="1434"/>
        <w:gridCol w:w="1438"/>
        <w:gridCol w:w="259"/>
        <w:gridCol w:w="856"/>
        <w:gridCol w:w="144"/>
        <w:gridCol w:w="109"/>
        <w:gridCol w:w="109"/>
        <w:gridCol w:w="109"/>
        <w:gridCol w:w="259"/>
        <w:gridCol w:w="856"/>
        <w:gridCol w:w="144"/>
        <w:gridCol w:w="109"/>
        <w:gridCol w:w="109"/>
        <w:gridCol w:w="109"/>
        <w:gridCol w:w="154"/>
      </w:tblGrid>
      <w:tr>
        <w:trPr/>
        <w:tc>
          <w:tcPr>
            <w:tcW w:w="16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PPNR</w:t>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Income Tax Expense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Credit Losses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Credit Losses on Unfunded Commitments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Merger-Related Expenses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PPNR</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19,090 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21,809 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750" w:type="dxa"/>
        <w:jc w:val="left"/>
        <w:tblInd w:w="0" w:type="dxa"/>
        <w:tblLayout w:type="fixed"/>
        <w:tblCellMar>
          <w:top w:w="28" w:type="dxa"/>
          <w:left w:w="28" w:type="dxa"/>
          <w:bottom w:w="28" w:type="dxa"/>
          <w:right w:w="28" w:type="dxa"/>
        </w:tblCellMar>
      </w:tblPr>
      <w:tblGrid>
        <w:gridCol w:w="1644"/>
        <w:gridCol w:w="1446"/>
        <w:gridCol w:w="1455"/>
        <w:gridCol w:w="259"/>
        <w:gridCol w:w="856"/>
        <w:gridCol w:w="144"/>
        <w:gridCol w:w="109"/>
        <w:gridCol w:w="109"/>
        <w:gridCol w:w="109"/>
        <w:gridCol w:w="318"/>
        <w:gridCol w:w="1051"/>
        <w:gridCol w:w="250"/>
      </w:tblGrid>
      <w:tr>
        <w:trPr/>
        <w:tc>
          <w:tcPr>
            <w:tcW w:w="164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Allowance for Credit Losses to Total Portfolio Loans</w:t>
            </w:r>
          </w:p>
        </w:tc>
        <w:tc>
          <w:tcPr>
            <w:tcW w:w="3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Allowance for Credit Losses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54,680 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Portfolio Loans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3,026,431 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2,959,457 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Allowance for Credit Losses to Total Portfolio Loans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w:t>
            </w:r>
          </w:p>
        </w:tc>
      </w:tr>
    </w:tbl>
    <w:tbl>
      <w:tblPr>
        <w:tblW w:w="10205" w:type="dxa"/>
        <w:jc w:val="left"/>
        <w:tblInd w:w="0" w:type="dxa"/>
        <w:tblLayout w:type="fixed"/>
        <w:tblCellMar>
          <w:top w:w="28" w:type="dxa"/>
          <w:left w:w="28" w:type="dxa"/>
          <w:bottom w:w="28" w:type="dxa"/>
          <w:right w:w="28" w:type="dxa"/>
        </w:tblCellMar>
      </w:tblPr>
      <w:tblGrid>
        <w:gridCol w:w="2541"/>
        <w:gridCol w:w="2234"/>
        <w:gridCol w:w="2241"/>
        <w:gridCol w:w="209"/>
        <w:gridCol w:w="930"/>
        <w:gridCol w:w="115"/>
        <w:gridCol w:w="109"/>
        <w:gridCol w:w="109"/>
        <w:gridCol w:w="109"/>
        <w:gridCol w:w="257"/>
        <w:gridCol w:w="1144"/>
        <w:gridCol w:w="207"/>
      </w:tblGrid>
      <w:tr>
        <w:trPr/>
        <w:tc>
          <w:tcPr>
            <w:tcW w:w="2541"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Commercial Bank Allowance for Credit Losses to Commercial Bank Portfolio Loans</w:t>
            </w:r>
          </w:p>
        </w:tc>
        <w:tc>
          <w:tcPr>
            <w:tcW w:w="31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Allowance for Credit Losses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Credit Card Allowance for Credit Losses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Commercial Bank Allowance for Credit Losses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46,428 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Portfolio Loans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3,026,431 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2,959,457 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Gross Credit Card Loans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137,905 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Commercial Bank Portfolio Loans</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2,894,544 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2,821,552 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Commercial Bank Allowance for Credit Losses to Total Portfolio Loans</w:t>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28650"/>
                <wp:effectExtent l="0" t="0" r="0" b="0"/>
                <wp:wrapNone/>
                <wp:docPr id="69" name="Frame6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609" w:type="dxa"/>
        <w:jc w:val="left"/>
        <w:tblInd w:w="0" w:type="dxa"/>
        <w:tblLayout w:type="fixed"/>
        <w:tblCellMar>
          <w:top w:w="28" w:type="dxa"/>
          <w:left w:w="28" w:type="dxa"/>
          <w:bottom w:w="28" w:type="dxa"/>
          <w:right w:w="28" w:type="dxa"/>
        </w:tblCellMar>
      </w:tblPr>
      <w:tblGrid>
        <w:gridCol w:w="1233"/>
        <w:gridCol w:w="1083"/>
        <w:gridCol w:w="1088"/>
        <w:gridCol w:w="259"/>
        <w:gridCol w:w="856"/>
        <w:gridCol w:w="144"/>
        <w:gridCol w:w="109"/>
        <w:gridCol w:w="109"/>
        <w:gridCol w:w="109"/>
        <w:gridCol w:w="318"/>
        <w:gridCol w:w="1051"/>
        <w:gridCol w:w="250"/>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Nonperforming Assets to Total Assets</w:t>
            </w:r>
          </w:p>
        </w:tc>
        <w:tc>
          <w:tcPr>
            <w:tcW w:w="3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Nonperforming Assets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59,273 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58,276 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3,808,467 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3,606,207 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Nonperforming Assets to Total Assets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r>
    </w:tbl>
    <w:tbl>
      <w:tblPr>
        <w:tblW w:w="7194" w:type="dxa"/>
        <w:jc w:val="left"/>
        <w:tblInd w:w="0" w:type="dxa"/>
        <w:tblLayout w:type="fixed"/>
        <w:tblCellMar>
          <w:top w:w="28" w:type="dxa"/>
          <w:left w:w="28" w:type="dxa"/>
          <w:bottom w:w="28" w:type="dxa"/>
          <w:right w:w="28" w:type="dxa"/>
        </w:tblCellMar>
      </w:tblPr>
      <w:tblGrid>
        <w:gridCol w:w="1445"/>
        <w:gridCol w:w="1269"/>
        <w:gridCol w:w="1275"/>
        <w:gridCol w:w="259"/>
        <w:gridCol w:w="856"/>
        <w:gridCol w:w="144"/>
        <w:gridCol w:w="109"/>
        <w:gridCol w:w="109"/>
        <w:gridCol w:w="109"/>
        <w:gridCol w:w="318"/>
        <w:gridCol w:w="1051"/>
        <w:gridCol w:w="250"/>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Nonperforming Loans to Total Portfolio Loans</w:t>
            </w:r>
          </w:p>
        </w:tc>
        <w:tc>
          <w:tcPr>
            <w:tcW w:w="3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Nonperforming Loans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54,421 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Portfolio Loans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3,026,431 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2,959,457 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Nonperforming Loans to Total Portfolio Loans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r>
    </w:tbl>
    <w:tbl>
      <w:tblPr>
        <w:tblW w:w="7902" w:type="dxa"/>
        <w:jc w:val="left"/>
        <w:tblInd w:w="0" w:type="dxa"/>
        <w:tblLayout w:type="fixed"/>
        <w:tblCellMar>
          <w:top w:w="28" w:type="dxa"/>
          <w:left w:w="28" w:type="dxa"/>
          <w:bottom w:w="28" w:type="dxa"/>
          <w:right w:w="28" w:type="dxa"/>
        </w:tblCellMar>
      </w:tblPr>
      <w:tblGrid>
        <w:gridCol w:w="1656"/>
        <w:gridCol w:w="1457"/>
        <w:gridCol w:w="1461"/>
        <w:gridCol w:w="287"/>
        <w:gridCol w:w="814"/>
        <w:gridCol w:w="159"/>
        <w:gridCol w:w="109"/>
        <w:gridCol w:w="109"/>
        <w:gridCol w:w="109"/>
        <w:gridCol w:w="287"/>
        <w:gridCol w:w="814"/>
        <w:gridCol w:w="159"/>
        <w:gridCol w:w="109"/>
        <w:gridCol w:w="109"/>
        <w:gridCol w:w="109"/>
        <w:gridCol w:w="154"/>
      </w:tblGrid>
      <w:tr>
        <w:trPr/>
        <w:tc>
          <w:tcPr>
            <w:tcW w:w="1656"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Charge-Offs to Average Portfolio Loans</w:t>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Charge-Offs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Average Portfolio Loans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3,008,187 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2,634,110 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Charge-Offs to Average Portfolio Loans, Annualized</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951" w:type="dxa"/>
        <w:jc w:val="left"/>
        <w:tblInd w:w="0" w:type="dxa"/>
        <w:tblLayout w:type="fixed"/>
        <w:tblCellMar>
          <w:top w:w="28" w:type="dxa"/>
          <w:left w:w="28" w:type="dxa"/>
          <w:bottom w:w="28" w:type="dxa"/>
          <w:right w:w="28" w:type="dxa"/>
        </w:tblCellMar>
      </w:tblPr>
      <w:tblGrid>
        <w:gridCol w:w="992"/>
        <w:gridCol w:w="875"/>
        <w:gridCol w:w="878"/>
        <w:gridCol w:w="237"/>
        <w:gridCol w:w="891"/>
        <w:gridCol w:w="132"/>
        <w:gridCol w:w="109"/>
        <w:gridCol w:w="109"/>
        <w:gridCol w:w="109"/>
        <w:gridCol w:w="292"/>
        <w:gridCol w:w="1098"/>
        <w:gridCol w:w="229"/>
      </w:tblGrid>
      <w:tr>
        <w:trPr/>
        <w:tc>
          <w:tcPr>
            <w:tcW w:w="9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Tangible Book Value per Share</w:t>
            </w:r>
          </w:p>
        </w:tc>
        <w:tc>
          <w:tcPr>
            <w:tcW w:w="32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 except share and per share data)</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408,859 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401,757 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Intangible Assets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40,740 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Tangible Common Equity</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368,379 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361,017 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Period End Shares Outstanding</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16,286,480 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16,373,288 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Tangible Book Value per Share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1416"/>
        <w:gridCol w:w="1247"/>
        <w:gridCol w:w="1251"/>
        <w:gridCol w:w="208"/>
        <w:gridCol w:w="781"/>
        <w:gridCol w:w="271"/>
        <w:gridCol w:w="109"/>
        <w:gridCol w:w="109"/>
        <w:gridCol w:w="109"/>
        <w:gridCol w:w="208"/>
        <w:gridCol w:w="781"/>
        <w:gridCol w:w="271"/>
        <w:gridCol w:w="109"/>
        <w:gridCol w:w="109"/>
        <w:gridCol w:w="109"/>
        <w:gridCol w:w="154"/>
      </w:tblGrid>
      <w:tr>
        <w:trPr/>
        <w:tc>
          <w:tcPr>
            <w:tcW w:w="141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Return on Average Tangible Common Equity</w:t>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Intangible Amortization, Net of Tax</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Tangible Income</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Equity</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405,302 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363,115 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Intangible Assets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Average Tangible Common Equity</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364,674 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326,219 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Return on Average Equity</w:t>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Return on Average Tangible Common Equity</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28650"/>
                <wp:effectExtent l="0" t="0" r="0" b="0"/>
                <wp:wrapNone/>
                <wp:docPr id="70" name="Frame6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708" w:type="dxa"/>
        <w:jc w:val="left"/>
        <w:tblInd w:w="0" w:type="dxa"/>
        <w:tblLayout w:type="fixed"/>
        <w:tblCellMar>
          <w:top w:w="28" w:type="dxa"/>
          <w:left w:w="28" w:type="dxa"/>
          <w:bottom w:w="28" w:type="dxa"/>
          <w:right w:w="28" w:type="dxa"/>
        </w:tblCellMar>
      </w:tblPr>
      <w:tblGrid>
        <w:gridCol w:w="1585"/>
        <w:gridCol w:w="1395"/>
        <w:gridCol w:w="1400"/>
        <w:gridCol w:w="225"/>
        <w:gridCol w:w="741"/>
        <w:gridCol w:w="294"/>
        <w:gridCol w:w="109"/>
        <w:gridCol w:w="109"/>
        <w:gridCol w:w="109"/>
        <w:gridCol w:w="225"/>
        <w:gridCol w:w="741"/>
        <w:gridCol w:w="294"/>
        <w:gridCol w:w="109"/>
        <w:gridCol w:w="109"/>
        <w:gridCol w:w="109"/>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Return on Average Tangible Common Equity</w:t>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Income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Intangible Amortization, Net of Tax</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Tangible Income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12,215 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15,095 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Return on Average Tangible Common Equity</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18.77 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ind w:left="0" w:right="0" w:firstLine="360"/>
        <w:jc w:val="left"/>
        <w:rPr/>
      </w:pPr>
      <w:r>
        <w:rPr/>
      </w:r>
    </w:p>
    <w:p>
      <w:pPr>
        <w:pStyle w:val="TextBody"/>
        <w:bidi w:val="0"/>
        <w:spacing w:before="0" w:after="24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28650"/>
                <wp:effectExtent l="0" t="0" r="0" b="0"/>
                <wp:wrapNone/>
                <wp:docPr id="71" name="Frame7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color w:val="000000"/>
          <w:sz w:val="20"/>
          <w:u w:val="single"/>
        </w:rPr>
      </w:pPr>
      <w:r>
        <w:rPr>
          <w:rFonts w:ascii="Arial;sans-serif" w:hAnsi="Arial;sans-serif"/>
          <w:b/>
          <w:color w:val="000000"/>
          <w:sz w:val="20"/>
          <w:u w:val="single"/>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Interest Rate Sensitivity and Market Risk</w:t>
      </w:r>
    </w:p>
    <w:p>
      <w:pPr>
        <w:pStyle w:val="TextBody"/>
        <w:bidi w:val="0"/>
        <w:spacing w:lineRule="auto" w:line="288" w:before="0" w:after="240"/>
        <w:ind w:left="0" w:right="0" w:firstLine="360"/>
        <w:jc w:val="both"/>
        <w:rPr/>
      </w:pPr>
      <w:r>
        <w:rPr>
          <w:rFonts w:ascii="Arial;sans-serif" w:hAnsi="Arial;sans-serif"/>
          <w:b w:val="false"/>
          <w:color w:val="000000"/>
          <w:sz w:val="20"/>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sans-serif" w:hAnsi="Arial;sans-serif"/>
          <w:b/>
          <w:color w:val="000000"/>
          <w:sz w:val="20"/>
        </w:rPr>
        <w:t xml:space="preserve">. </w:t>
      </w:r>
      <w:r>
        <w:rPr>
          <w:rFonts w:ascii="Arial;sans-serif" w:hAnsi="Arial;sans-serif"/>
          <w:b w:val="false"/>
          <w:color w:val="000000"/>
          <w:sz w:val="20"/>
        </w:rPr>
        <w:t>We endeavor to manage our sensitivity position within our established guidelines.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Fluctuations in interest rates will ultimately impact both the level of income and the market value of all interest 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We endeavor to hedge the interest rate risks of our available-for-sale mortgage pipeline by using MBS, and short positions. Based on the nature of our operations, we are not subject to foreign exchange or commodity price risk. We do not own any trading assets.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exposure to interest rate risk is managed by the Bank’s Asset/Liability Management Committee (“ALCO”) in accordance with policies approved by our board of directors. The ALCO formulates strategies based on perceived levels of interest rate risk. In determining the appropriate level of interest rate risk, the committee considers the impact on earnings and capital of the current outlook for interest rates, potential changes in interest rates, regional economies, liquidity, business strategies and other factors. The ALCO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ALCO reviews liquidity, cash flow flexibility, maturities of deposits and consumer and commercial deposit activity. Management employs methodologies to manage interest rate risk, which include an analysis of relationships between interest earning assets and interest-bearing liabilities and an interest rate shock simulation model.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28650"/>
                <wp:effectExtent l="0" t="0" r="0" b="0"/>
                <wp:wrapNone/>
                <wp:docPr id="72" name="Frame7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INTEREST SENSITIVITY GAP</w:t>
      </w:r>
    </w:p>
    <w:tbl>
      <w:tblPr>
        <w:tblW w:w="10477" w:type="dxa"/>
        <w:jc w:val="left"/>
        <w:tblInd w:w="0" w:type="dxa"/>
        <w:tblLayout w:type="fixed"/>
        <w:tblCellMar>
          <w:top w:w="28" w:type="dxa"/>
          <w:left w:w="28" w:type="dxa"/>
          <w:bottom w:w="28" w:type="dxa"/>
          <w:right w:w="28" w:type="dxa"/>
        </w:tblCellMar>
      </w:tblPr>
      <w:tblGrid>
        <w:gridCol w:w="650"/>
        <w:gridCol w:w="433"/>
        <w:gridCol w:w="193"/>
        <w:gridCol w:w="196"/>
        <w:gridCol w:w="871"/>
        <w:gridCol w:w="256"/>
        <w:gridCol w:w="109"/>
        <w:gridCol w:w="109"/>
        <w:gridCol w:w="109"/>
        <w:gridCol w:w="196"/>
        <w:gridCol w:w="736"/>
        <w:gridCol w:w="256"/>
        <w:gridCol w:w="109"/>
        <w:gridCol w:w="109"/>
        <w:gridCol w:w="109"/>
        <w:gridCol w:w="196"/>
        <w:gridCol w:w="736"/>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March 31, 2026</w:t>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Within One 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 One Month Through 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 Three Through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Within 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Greater Than One Year or Non-Sensitive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9201"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Interest earning assets</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Loans </w:t>
            </w:r>
            <w:r>
              <w:rPr>
                <w:rFonts w:ascii="Arial;sans-serif" w:hAnsi="Arial;sans-serif"/>
                <w:b w:val="false"/>
                <w:color w:val="000000"/>
                <w:sz w:val="10"/>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1,104,328 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273,325 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520,726 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1,898,379 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1,141,791 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3,040,170 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 xml:space="preserve">Securities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150,509 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239,216 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 at other financial institutions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379,069 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379,069 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Federal funds sold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earning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1,485,473 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333,619 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547,123 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2,366,215 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1,292,300 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3,658,515 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liabilities</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225,808 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301,078 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1,338,150 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Time 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205,898 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410,426 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709,744 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781,142 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deposits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256,078 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636,234 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1,010,822 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1,409,548 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2,420,370 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FHLB Advances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borrowed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308,140 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636,234 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1,062,884 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1,409,548 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2,472,432 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Period gap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1,366,963 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1,303,331 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Cumulative gap</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1,366,963 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1,392,442 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1,303,331 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1,303,331 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1,186,083 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Ratio of cumulative gap to total earning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Times New Roman;serif" w:hAnsi="Times New Roman;serif"/>
          <w:b w:val="false"/>
          <w:color w:val="000000"/>
          <w:sz w:val="8"/>
        </w:rPr>
        <w:t>(1)</w:t>
      </w:r>
      <w:r>
        <w:rPr>
          <w:rFonts w:ascii="Arial;sans-serif" w:hAnsi="Arial;sans-serif"/>
          <w:b w:val="false"/>
          <w:color w:val="000000"/>
          <w:sz w:val="12"/>
        </w:rPr>
        <w:t>Includes loans held for sale.</w:t>
      </w:r>
    </w:p>
    <w:p>
      <w:pPr>
        <w:pStyle w:val="TextBody"/>
        <w:bidi w:val="0"/>
        <w:spacing w:before="0" w:after="24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use quarterly Earnings at Risk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also use economic value-based methodologies to measure the degree to which the economic values of the Bank’s positions change under different interest rate scenarios. The economic-value approach focuses on a longer-term time horizon and endeavors to capture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28650"/>
                <wp:effectExtent l="0" t="0" r="0" b="0"/>
                <wp:wrapNone/>
                <wp:docPr id="73" name="Frame7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the results of our EAR analysis in simulating the change in net interest income and fair value of equity over a 12-month horizon as of March 31, 2026: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IMPACT ON NET INTEREST INCOME UNDER A STATIC BALANCE SHEET, PARALLEL INTEREST RATE SHOCK</w:t>
      </w:r>
    </w:p>
    <w:tbl>
      <w:tblPr>
        <w:tblW w:w="10205" w:type="dxa"/>
        <w:jc w:val="center"/>
        <w:tblInd w:w="0" w:type="dxa"/>
        <w:tblLayout w:type="fixed"/>
        <w:tblCellMar>
          <w:top w:w="28" w:type="dxa"/>
          <w:left w:w="28" w:type="dxa"/>
          <w:bottom w:w="28" w:type="dxa"/>
          <w:right w:w="28" w:type="dxa"/>
        </w:tblCellMar>
      </w:tblPr>
      <w:tblGrid>
        <w:gridCol w:w="321"/>
        <w:gridCol w:w="282"/>
        <w:gridCol w:w="283"/>
        <w:gridCol w:w="109"/>
        <w:gridCol w:w="109"/>
        <w:gridCol w:w="109"/>
        <w:gridCol w:w="243"/>
        <w:gridCol w:w="244"/>
        <w:gridCol w:w="287"/>
        <w:gridCol w:w="109"/>
        <w:gridCol w:w="109"/>
        <w:gridCol w:w="109"/>
        <w:gridCol w:w="243"/>
        <w:gridCol w:w="244"/>
        <w:gridCol w:w="273"/>
        <w:gridCol w:w="109"/>
        <w:gridCol w:w="109"/>
        <w:gridCol w:w="109"/>
        <w:gridCol w:w="198"/>
        <w:gridCol w:w="199"/>
        <w:gridCol w:w="273"/>
        <w:gridCol w:w="109"/>
        <w:gridCol w:w="109"/>
        <w:gridCol w:w="109"/>
        <w:gridCol w:w="198"/>
        <w:gridCol w:w="199"/>
        <w:gridCol w:w="273"/>
        <w:gridCol w:w="109"/>
        <w:gridCol w:w="109"/>
        <w:gridCol w:w="109"/>
        <w:gridCol w:w="188"/>
        <w:gridCol w:w="188"/>
        <w:gridCol w:w="256"/>
        <w:gridCol w:w="109"/>
        <w:gridCol w:w="109"/>
        <w:gridCol w:w="109"/>
        <w:gridCol w:w="188"/>
        <w:gridCol w:w="188"/>
        <w:gridCol w:w="275"/>
        <w:gridCol w:w="109"/>
        <w:gridCol w:w="109"/>
        <w:gridCol w:w="109"/>
        <w:gridCol w:w="188"/>
        <w:gridCol w:w="188"/>
        <w:gridCol w:w="275"/>
        <w:gridCol w:w="109"/>
        <w:gridCol w:w="109"/>
        <w:gridCol w:w="109"/>
        <w:gridCol w:w="233"/>
        <w:gridCol w:w="233"/>
        <w:gridCol w:w="275"/>
        <w:gridCol w:w="109"/>
        <w:gridCol w:w="109"/>
        <w:gridCol w:w="109"/>
        <w:gridCol w:w="233"/>
        <w:gridCol w:w="233"/>
        <w:gridCol w:w="361"/>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at Risk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-400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Flat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+400 bps</w:t>
            </w:r>
          </w:p>
        </w:tc>
      </w:tr>
      <w:tr>
        <w:trPr/>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illustrates the results of our EVE analysis as of March 31, 2026.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ECONOMIC VALUE OF EQUITY ANALYSIS UNDER A STATIC BALANCE SHEET, PARALLEL INTEREST RATE SHOCK</w:t>
      </w:r>
    </w:p>
    <w:tbl>
      <w:tblPr>
        <w:tblW w:w="10205" w:type="dxa"/>
        <w:jc w:val="center"/>
        <w:tblInd w:w="0" w:type="dxa"/>
        <w:tblLayout w:type="fixed"/>
        <w:tblCellMar>
          <w:top w:w="28" w:type="dxa"/>
          <w:left w:w="28" w:type="dxa"/>
          <w:bottom w:w="28" w:type="dxa"/>
          <w:right w:w="28" w:type="dxa"/>
        </w:tblCellMar>
      </w:tblPr>
      <w:tblGrid>
        <w:gridCol w:w="349"/>
        <w:gridCol w:w="306"/>
        <w:gridCol w:w="308"/>
        <w:gridCol w:w="109"/>
        <w:gridCol w:w="109"/>
        <w:gridCol w:w="109"/>
        <w:gridCol w:w="241"/>
        <w:gridCol w:w="242"/>
        <w:gridCol w:w="275"/>
        <w:gridCol w:w="109"/>
        <w:gridCol w:w="109"/>
        <w:gridCol w:w="109"/>
        <w:gridCol w:w="241"/>
        <w:gridCol w:w="242"/>
        <w:gridCol w:w="262"/>
        <w:gridCol w:w="109"/>
        <w:gridCol w:w="109"/>
        <w:gridCol w:w="109"/>
        <w:gridCol w:w="196"/>
        <w:gridCol w:w="197"/>
        <w:gridCol w:w="262"/>
        <w:gridCol w:w="109"/>
        <w:gridCol w:w="109"/>
        <w:gridCol w:w="109"/>
        <w:gridCol w:w="196"/>
        <w:gridCol w:w="197"/>
        <w:gridCol w:w="262"/>
        <w:gridCol w:w="109"/>
        <w:gridCol w:w="109"/>
        <w:gridCol w:w="109"/>
        <w:gridCol w:w="188"/>
        <w:gridCol w:w="188"/>
        <w:gridCol w:w="256"/>
        <w:gridCol w:w="109"/>
        <w:gridCol w:w="109"/>
        <w:gridCol w:w="109"/>
        <w:gridCol w:w="188"/>
        <w:gridCol w:w="188"/>
        <w:gridCol w:w="263"/>
        <w:gridCol w:w="109"/>
        <w:gridCol w:w="109"/>
        <w:gridCol w:w="109"/>
        <w:gridCol w:w="188"/>
        <w:gridCol w:w="188"/>
        <w:gridCol w:w="263"/>
        <w:gridCol w:w="109"/>
        <w:gridCol w:w="109"/>
        <w:gridCol w:w="109"/>
        <w:gridCol w:w="188"/>
        <w:gridCol w:w="188"/>
        <w:gridCol w:w="263"/>
        <w:gridCol w:w="109"/>
        <w:gridCol w:w="109"/>
        <w:gridCol w:w="109"/>
        <w:gridCol w:w="198"/>
        <w:gridCol w:w="178"/>
        <w:gridCol w:w="293"/>
        <w:gridCol w:w="109"/>
        <w:gridCol w:w="159"/>
      </w:tblGrid>
      <w:tr>
        <w:trPr/>
        <w:tc>
          <w:tcPr>
            <w:tcW w:w="3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Economic Value of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-400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Flat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+400 bps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28650"/>
                <wp:effectExtent l="0" t="0" r="0" b="0"/>
                <wp:wrapNone/>
                <wp:docPr id="74" name="Frame7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color w:val="000000"/>
          <w:sz w:val="20"/>
          <w:u w:val="single"/>
        </w:rPr>
      </w:pPr>
      <w:r>
        <w:rPr>
          <w:rFonts w:ascii="Arial;sans-serif" w:hAnsi="Arial;sans-serif"/>
          <w:b/>
          <w:color w:val="000000"/>
          <w:sz w:val="20"/>
          <w:u w:val="single"/>
        </w:rPr>
        <w:t>Item 4. CONTROLS AND PROCEDURES.</w:t>
      </w:r>
    </w:p>
    <w:p>
      <w:pPr>
        <w:pStyle w:val="TextBody"/>
        <w:bidi w:val="0"/>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Evaluation of Disclosure Controls and Procedures</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Company’s management, including our Principal Executive Officer and Principal Financial Officer, have evaluated the effectiveness of our disclosure controls and procedures (as defined in Rule 13a-15(e) and 15d-15(e)) under the Securities Exchange Act of 1934, as amended (the “Exchange Act”) that are designed to ensure that information required to be disclosed in the reports we file and submit under the Exchange Act is (i) recorded, processed, summarized and reported as and when required and (ii) accumulated and communicated to our management, including our Principal Executive Officer and Principal Financial Officer, as appropriate to allow timely decisions regarding required disclosures.</w:t>
      </w:r>
    </w:p>
    <w:p>
      <w:pPr>
        <w:pStyle w:val="TextBody"/>
        <w:bidi w:val="0"/>
        <w:spacing w:before="0" w:after="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previously disclosed in Item 9A of the Company’s Annual Report on Form 10-K for the year ended December 31, 2025, management identified a material weakness in the Company’s internal control over financial reporting. As a result of this material weakness, the Company’s Principal Executive Officer and Principal Financial Officer concluded that our disclosure controls and procedures were not effective as of the end of the period covered by this report. Notwithstanding the material weakness, based on additional analyses and other procedures performed, management believes the consolidated financial statements included in this report fairly present, in all material respects, the Company’s financial position, results of operations and cash flows, as of the periods presented, in accordance with GAAP.</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Management has implemented, and continues to implement, measures designed to remediate the material weakness described in the Company’s Form 10-K. Although the control enhancements comprising the Company’s remediation plan have been implemented, the controls have not yet operated for a sufficient period of time to allow management to conclude that the material weakness has been fully remediated. </w:t>
      </w:r>
    </w:p>
    <w:p>
      <w:pPr>
        <w:pStyle w:val="TextBody"/>
        <w:bidi w:val="0"/>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Changes in Internal Control over Financial Reporting</w:t>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There have been no changes in the Company’s internal control over financial reporting (as such term is defined in Rule 13a-15(f) under the Exchange Act) during the fiscal quarter to which this report relates that have materially affected, or are reasonably likely to materially affect, the Company’s internal control over financial reporting, other than the continued execution of the remediation plan previously disclosed in Item 9A of the Company’s Form 10-K for the year ended December 31, 2025. Management will continue to evaluate the design and operating effectiveness of the remediation measures as they operate over future periods.</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28650"/>
                <wp:effectExtent l="0" t="0" r="0" b="0"/>
                <wp:wrapNone/>
                <wp:docPr id="75" name="Frame7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1. LEGAL PROCEEDINGS.</w:t>
      </w:r>
    </w:p>
    <w:p>
      <w:pPr>
        <w:pStyle w:val="TextBody"/>
        <w:bidi w:val="0"/>
        <w:spacing w:before="0" w:after="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From time to time, we are a party to various litigation matters incidental to the ordinary conduct of our business. We are not presently a party to any legal proceedings which the Company believes will have a material adverse impact on the results of operations or financial condition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Arial;sans-serif" w:hAnsi="Arial;sans-serif"/>
          <w:b/>
          <w:color w:val="000000"/>
          <w:sz w:val="20"/>
          <w:u w:val="single"/>
        </w:rPr>
      </w:pPr>
      <w:r>
        <w:rPr>
          <w:rFonts w:ascii="Arial;sans-serif" w:hAnsi="Arial;sans-serif"/>
          <w:b/>
          <w:color w:val="000000"/>
          <w:sz w:val="20"/>
          <w:u w:val="single"/>
        </w:rPr>
        <w:t xml:space="preserve">Item 1A. RISK FACTORS.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There are no material changes to the risk factors as previously disclosed under Item 1A in our Annual Report on Form 10-K for the year ended December 31, 2025 and those referenced in other reports on file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28650"/>
                <wp:effectExtent l="0" t="0" r="0" b="0"/>
                <wp:wrapNone/>
                <wp:docPr id="76" name="Frame7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2. UNREGISTERED SALES OF EQUITY SECURITIES AND USE OF PROCEEDS.</w:t>
      </w:r>
    </w:p>
    <w:p>
      <w:pPr>
        <w:pStyle w:val="TextBody"/>
        <w:bidi w:val="0"/>
        <w:spacing w:before="0" w:after="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There were no unregistered sales of the Company’s stock during the year to date period ended March 31, 2026.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On February 21, 2025, the Company announced a new stock repurchase program under which the Company was authorized to repurchase up to $15 million of its Common Stock, par value $0.01 per share (“Common Stock”), or an aggregate of 483,559 shares of Common Stock. The stock repurchase program expired on February 28, 2026.</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On March 16, 2026, the Company announced a new stock repurchase program. Under the new stock repurchase program, the Company is authorized to repurchase up to $15 million of its Common Stock, or an aggregate of 550,000 shares of common stock. The new stock repurchase program will expire on December 31, 2026, but may be limited or terminated at any time without prior notice.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During the three months ended March 31, 2026, the Company repurchased Common Stock under the stock repurchase programs as reflected in the following table.</w:t>
      </w:r>
    </w:p>
    <w:tbl>
      <w:tblPr>
        <w:tblW w:w="10205" w:type="dxa"/>
        <w:jc w:val="left"/>
        <w:tblInd w:w="0" w:type="dxa"/>
        <w:tblLayout w:type="fixed"/>
        <w:tblCellMar>
          <w:top w:w="28" w:type="dxa"/>
          <w:left w:w="28" w:type="dxa"/>
          <w:bottom w:w="28" w:type="dxa"/>
          <w:right w:w="28" w:type="dxa"/>
        </w:tblCellMar>
      </w:tblPr>
      <w:tblGrid>
        <w:gridCol w:w="558"/>
        <w:gridCol w:w="446"/>
        <w:gridCol w:w="451"/>
        <w:gridCol w:w="521"/>
        <w:gridCol w:w="510"/>
        <w:gridCol w:w="512"/>
        <w:gridCol w:w="300"/>
        <w:gridCol w:w="854"/>
        <w:gridCol w:w="167"/>
        <w:gridCol w:w="965"/>
        <w:gridCol w:w="933"/>
        <w:gridCol w:w="936"/>
        <w:gridCol w:w="488"/>
        <w:gridCol w:w="2173"/>
        <w:gridCol w:w="391"/>
      </w:tblGrid>
      <w:tr>
        <w:trPr/>
        <w:tc>
          <w:tcPr>
            <w:tcW w:w="55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Period</w:t>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Per Share</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 as Part of Publicly Announced Plans or Programs</w:t>
            </w:r>
          </w:p>
        </w:tc>
        <w:tc>
          <w:tcPr>
            <w:tcW w:w="3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Maximum Dollar Value of Shares that May Yet Be Purchased Under the Plans or Programs</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1, 2026 to January 31, 2026</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34,699 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454,342 </w:t>
            </w:r>
          </w:p>
        </w:tc>
        <w:tc>
          <w:tcPr>
            <w:tcW w:w="9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2,355,153 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1, 2026 to February 28, 2026</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454,342 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2,355,153 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1, 2026 to March 31, 2026</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88,058 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88,058 </w:t>
            </w:r>
          </w:p>
        </w:tc>
        <w:tc>
          <w:tcPr>
            <w:tcW w:w="9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12,438,329 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28650"/>
                <wp:effectExtent l="0" t="0" r="0" b="0"/>
                <wp:wrapNone/>
                <wp:docPr id="77" name="Frame7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4. MINE SAFETY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5. OTHER INFORMATION.</w:t>
      </w:r>
    </w:p>
    <w:p>
      <w:pPr>
        <w:pStyle w:val="TextBody"/>
        <w:bidi w:val="0"/>
        <w:spacing w:before="0" w:after="0"/>
        <w:jc w:val="both"/>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Rule 10b5-1 Trading Plans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During the quarter ended March 31, 2026, no officer or director of the Company adopted or terminated any contract, instruction, or written plan for the purchase or sale of securities of the Company’s common stock that is intended to satisfy the affirmative defense conditions of Exchange Act Rule 10b5-1(c), or adopted or terminated any non-Rule 10b5-1 trading arrangement as defined in 17 CFR § 229.408(c).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6. EXHIBITS.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0"/>
        <w:gridCol w:w="281"/>
        <w:gridCol w:w="282"/>
        <w:gridCol w:w="109"/>
        <w:gridCol w:w="109"/>
        <w:gridCol w:w="109"/>
        <w:gridCol w:w="2634"/>
        <w:gridCol w:w="2623"/>
        <w:gridCol w:w="3738"/>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Arial;sans-serif" w:hAnsi="Arial;sans-serif"/>
                  <w:b w:val="false"/>
                  <w:color w:val="0000FF"/>
                  <w:sz w:val="16"/>
                  <w:u w:val="single"/>
                </w:rPr>
                <w:t>Agreement and Plan of Merger and Reorganization, dated March 27, 2024, by and between the Company and Integrated Financial Holdings Inc. (incorporated by reference to Exhibit 2.1 to the Company’s Form 8-K filed on April 1, 2024)</w:t>
              </w:r>
            </w:hyperlink>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Arial;sans-serif" w:hAnsi="Arial;sans-serif"/>
                  <w:b w:val="false"/>
                  <w:color w:val="0000FF"/>
                  <w:sz w:val="16"/>
                  <w:u w:val="single"/>
                </w:rPr>
                <w:t>Amended and Restated Articles of Incorporation, as amended (incorporated by reference to Exhibit 3.1 to the Company’s Form 8-K filed on May 23, 2023)</w:t>
              </w:r>
            </w:hyperlink>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Arial;sans-serif" w:hAnsi="Arial;sans-serif"/>
                  <w:b w:val="false"/>
                  <w:color w:val="0000FF"/>
                  <w:sz w:val="16"/>
                  <w:u w:val="single"/>
                </w:rPr>
                <w:t>Amended and Restated Bylaws (incorporated by reference to Exhibit 3.2 to the Company’s Form 8-K filed on May 23, 2023)</w:t>
              </w:r>
            </w:hyperlink>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Arial;sans-serif" w:hAnsi="Arial;sans-serif"/>
                  <w:b w:val="false"/>
                  <w:color w:val="0000FF"/>
                  <w:sz w:val="16"/>
                  <w:u w:val="single"/>
                </w:rPr>
                <w:t>Employment Agreement, dated December 24, 2025, by and between Capital Bancorp, Inc., Capital Bank, N.A., and Edward F. Barry (incorporated by reference to Exhibit 10.1 to the Company’s Form 8-K filed on December 31, 2025)</w:t>
              </w:r>
            </w:hyperlink>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Arial;sans-serif" w:hAnsi="Arial;sans-serif"/>
                  <w:b w:val="false"/>
                  <w:color w:val="0000FF"/>
                  <w:sz w:val="16"/>
                  <w:u w:val="single"/>
                </w:rPr>
                <w:t>Employment Agreement, dated February 6, 2026, between Capital Bank, N.A., Capital Bancorp, Inc. and Steven Poynot (incorporated by reference to Exhibit 10.1 to the Company’s Form 8-K filed on February 10, 2026)</w:t>
              </w:r>
            </w:hyperlink>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certofceoq12026.htm">
              <w:r>
                <w:rPr>
                  <w:rStyle w:val="InternetLink"/>
                  <w:rFonts w:ascii="Arial;sans-serif" w:hAnsi="Arial;sans-serif"/>
                  <w:b w:val="false"/>
                  <w:color w:val="0000FF"/>
                  <w:sz w:val="16"/>
                  <w:u w:val="single"/>
                </w:rPr>
                <w:t>Rule 13a-14(a) Certification of the Principal Executive Officer.</w:t>
              </w:r>
            </w:hyperlink>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certofcfoq12026.htm">
              <w:r>
                <w:rPr>
                  <w:rStyle w:val="InternetLink"/>
                  <w:rFonts w:ascii="Arial;sans-serif" w:hAnsi="Arial;sans-serif"/>
                  <w:b w:val="false"/>
                  <w:color w:val="0000FF"/>
                  <w:sz w:val="16"/>
                  <w:u w:val="single"/>
                </w:rPr>
                <w:t>Rule 13a-14(a) Certification of the Principal Financial Officer.</w:t>
              </w:r>
            </w:hyperlink>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certofsoxq12026.htm">
              <w:r>
                <w:rPr>
                  <w:rStyle w:val="InternetLink"/>
                  <w:rFonts w:ascii="Arial;sans-serif" w:hAnsi="Arial;sans-serif"/>
                  <w:b w:val="false"/>
                  <w:color w:val="0000FF"/>
                  <w:sz w:val="16"/>
                  <w:u w:val="single"/>
                </w:rPr>
                <w:t>Section 1350 Certification of Principal Executive Officer and Principal Financial Officer.</w:t>
              </w:r>
            </w:hyperlink>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The following materials from the Quarterly Report on Form 10-Q of Capital Bancorp, Inc. for the quarter ended March 31, 2026, formatted in eXtensible Business Reporting Language (XBRL): (i) Consolidated Balance Sheets, (ii) Consolidated Statements of Income, (iii) Consolidated Statements of Comprehensive Income, (iv) Consolidated Statement of Changes in Stockholders’ Equity, (v) Consolidated Statements of Cash Flows and (vi) Notes to Unaudited Consolidated Financial Statements.</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28650"/>
                <wp:effectExtent l="0" t="0" r="0" b="0"/>
                <wp:wrapNone/>
                <wp:docPr id="78" name="Frame7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629" w:type="dxa"/>
        <w:jc w:val="center"/>
        <w:tblInd w:w="0" w:type="dxa"/>
        <w:tblLayout w:type="fixed"/>
        <w:tblCellMar>
          <w:top w:w="28" w:type="dxa"/>
          <w:left w:w="28" w:type="dxa"/>
          <w:bottom w:w="28" w:type="dxa"/>
          <w:right w:w="28" w:type="dxa"/>
        </w:tblCellMar>
      </w:tblPr>
      <w:tblGrid>
        <w:gridCol w:w="624"/>
        <w:gridCol w:w="547"/>
        <w:gridCol w:w="553"/>
        <w:gridCol w:w="1437"/>
        <w:gridCol w:w="1437"/>
        <w:gridCol w:w="2031"/>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CAPITAL BANCORP, INC.                             </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8, 2026</w:t>
            </w:r>
          </w:p>
        </w:tc>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Edward F. Barry</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Edward F. Barry</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(Principal Executive Officer)</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8, 2026</w:t>
            </w:r>
          </w:p>
        </w:tc>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Jacob Dalaya</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Jacob Dalaya</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Executive Vice President, Chief Financial Officer</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28650"/>
                <wp:effectExtent l="0" t="0" r="0" b="0"/>
                <wp:wrapNone/>
                <wp:docPr id="79" name="Frame7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2: EX-31.1 (RULE 13A-14(A) CERTIFICATION OF THE PRINCIPAL EXECUTIVE OFFICER)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Rule 13a-14(a) Certification of the Principal Executive Officer.</w:t>
      </w:r>
    </w:p>
    <w:p>
      <w:pPr>
        <w:pStyle w:val="TextBody"/>
        <w:bidi w:val="0"/>
        <w:spacing w:before="100" w:after="10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 Edward F. Barry, certify that: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Capital Bancorp, Inc.;</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240"/>
        <w:jc w:val="both"/>
        <w:rPr/>
      </w:pPr>
      <w:r>
        <w:rPr/>
      </w:r>
    </w:p>
    <w:tbl>
      <w:tblPr>
        <w:tblW w:w="4394" w:type="dxa"/>
        <w:jc w:val="left"/>
        <w:tblInd w:w="0" w:type="dxa"/>
        <w:tblLayout w:type="fixed"/>
        <w:tblCellMar>
          <w:top w:w="28" w:type="dxa"/>
          <w:left w:w="28" w:type="dxa"/>
          <w:bottom w:w="28" w:type="dxa"/>
          <w:right w:w="28" w:type="dxa"/>
        </w:tblCellMar>
      </w:tblPr>
      <w:tblGrid>
        <w:gridCol w:w="624"/>
        <w:gridCol w:w="547"/>
        <w:gridCol w:w="553"/>
        <w:gridCol w:w="780"/>
        <w:gridCol w:w="780"/>
        <w:gridCol w:w="1110"/>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May 8, 2026</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Edward F. Barry</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Edward F. Barry</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2: EX-31.2 (RULE 13A-14(A) CERTIFICATION OF THE PRINCIPAL FINANCIAL OFFICER)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Rule 13a-14(a) Certification of the Principal Financial Officer.</w:t>
      </w:r>
    </w:p>
    <w:p>
      <w:pPr>
        <w:pStyle w:val="TextBody"/>
        <w:bidi w:val="0"/>
        <w:spacing w:before="100" w:after="100"/>
        <w:jc w:val="both"/>
        <w:rPr/>
      </w:pPr>
      <w:r>
        <w:rPr/>
      </w:r>
    </w:p>
    <w:p>
      <w:pPr>
        <w:pStyle w:val="TextBody"/>
        <w:bidi w:val="0"/>
        <w:spacing w:lineRule="auto" w:line="288" w:before="100" w:after="240"/>
        <w:jc w:val="both"/>
        <w:rPr>
          <w:rFonts w:ascii="Arial;sans-serif" w:hAnsi="Arial;sans-serif"/>
          <w:b w:val="false"/>
          <w:color w:val="000000"/>
          <w:sz w:val="20"/>
        </w:rPr>
      </w:pPr>
      <w:r>
        <w:rPr>
          <w:rFonts w:ascii="Arial;sans-serif" w:hAnsi="Arial;sans-serif"/>
          <w:b w:val="false"/>
          <w:color w:val="000000"/>
          <w:sz w:val="20"/>
        </w:rPr>
        <w:t>I, Jacob Dalaya, certify that: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Capital Bancorp, Inc.;</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4603" w:type="dxa"/>
        <w:jc w:val="left"/>
        <w:tblInd w:w="0" w:type="dxa"/>
        <w:tblLayout w:type="fixed"/>
        <w:tblCellMar>
          <w:top w:w="28" w:type="dxa"/>
          <w:left w:w="28" w:type="dxa"/>
          <w:bottom w:w="28" w:type="dxa"/>
          <w:right w:w="28" w:type="dxa"/>
        </w:tblCellMar>
      </w:tblPr>
      <w:tblGrid>
        <w:gridCol w:w="624"/>
        <w:gridCol w:w="547"/>
        <w:gridCol w:w="553"/>
        <w:gridCol w:w="843"/>
        <w:gridCol w:w="843"/>
        <w:gridCol w:w="1193"/>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May 8, 2026</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Jacob Dalaya</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Jacob Dalaya</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2: EX-32.1 (Certification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Exhibit 32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Certification Pursuant to 18 U.S.C. Section 1350, As Adopted Pursuant to Section 906 of the Sarbanes-Oxley Act of 2002.</w:t>
      </w:r>
    </w:p>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In connection with the Quarterly Report of Capital Bancorp, Inc. (the “Company”) on Form 10-Q for the period ended March 31, 2026, as filed with the Securities and Exchange Commission on the date hereof (the “Report”), the undersigned hereby certify, pursuant to 18 U.S.C. § 1350, as adopted pursuant to § 906 of the Sarbanes-Oxley Act of 2002, that to the undersigned’s best knowledge and belief:</w:t>
      </w:r>
    </w:p>
    <w:p>
      <w:pPr>
        <w:pStyle w:val="TextBody"/>
        <w:bidi w:val="0"/>
        <w:spacing w:lineRule="auto" w:line="288" w:before="0" w:after="24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 of operations of the Company.</w:t>
      </w:r>
    </w:p>
    <w:tbl>
      <w:tblPr>
        <w:tblW w:w="4603" w:type="dxa"/>
        <w:jc w:val="left"/>
        <w:tblInd w:w="0" w:type="dxa"/>
        <w:tblLayout w:type="fixed"/>
        <w:tblCellMar>
          <w:top w:w="28" w:type="dxa"/>
          <w:left w:w="28" w:type="dxa"/>
          <w:bottom w:w="28" w:type="dxa"/>
          <w:right w:w="28" w:type="dxa"/>
        </w:tblCellMar>
      </w:tblPr>
      <w:tblGrid>
        <w:gridCol w:w="624"/>
        <w:gridCol w:w="547"/>
        <w:gridCol w:w="553"/>
        <w:gridCol w:w="841"/>
        <w:gridCol w:w="841"/>
        <w:gridCol w:w="1197"/>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May 8, 2026</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Edward F. Barry</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Edward F. Barry</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Jacob Dalaya</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Jacob Dalaya</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Principal Financial Officer</w:t>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3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19536/000162828024014077/ex21-mergeragreement.htm" TargetMode="External"/><Relationship Id="rId4" Type="http://schemas.openxmlformats.org/officeDocument/2006/relationships/hyperlink" Target="https://www.sec.gov/Archives/edgar/data/1419536/000141953623000094/exhibit31-amendedarticles.htm" TargetMode="External"/><Relationship Id="rId5" Type="http://schemas.openxmlformats.org/officeDocument/2006/relationships/hyperlink" Target="https://www.sec.gov/Archives/edgar/data/1419536/000141953623000094/exhibit32-amendedbylaws.htm" TargetMode="External"/><Relationship Id="rId6" Type="http://schemas.openxmlformats.org/officeDocument/2006/relationships/hyperlink" Target="https://www.sec.gov/Archives/edgar/data/1419536/000141953625000140/capitalbank-barryemploym.htm" TargetMode="External"/><Relationship Id="rId7" Type="http://schemas.openxmlformats.org/officeDocument/2006/relationships/hyperlink" Target="https://www.sec.gov/Archives/edgar/data/1419536/000141953626000012/stevepoynotcontract-full.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30486</Words>
  <Characters>170754</Characters>
  <CharactersWithSpaces>198827</CharactersWithSpaces>
  <Paragraphs>6152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