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May 28, 2026</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BANCORP,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358"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Maryland</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8"/>
                <w:szCs w:val="18"/>
                <w:color w:val="auto"/>
                <w:w w:val="97"/>
              </w:rPr>
              <w:t>001-38671</w:t>
            </w:r>
          </w:p>
        </w:tc>
        <w:tc>
          <w:tcPr>
            <w:tcW w:w="2680" w:type="dxa"/>
            <w:vAlign w:val="bottom"/>
            <w:gridSpan w:val="3"/>
          </w:tcPr>
          <w:p>
            <w:pPr>
              <w:jc w:val="right"/>
              <w:ind w:right="300"/>
              <w:spacing w:after="0"/>
              <w:rPr>
                <w:sz w:val="20"/>
                <w:szCs w:val="20"/>
                <w:color w:val="auto"/>
              </w:rPr>
            </w:pPr>
            <w:r>
              <w:rPr>
                <w:rFonts w:ascii="Arial" w:cs="Arial" w:eastAsia="Arial" w:hAnsi="Arial"/>
                <w:sz w:val="18"/>
                <w:szCs w:val="18"/>
                <w:color w:val="auto"/>
              </w:rPr>
              <w:t>52-2083046</w:t>
            </w:r>
          </w:p>
        </w:tc>
      </w:tr>
      <w:tr>
        <w:trPr>
          <w:trHeight w:val="20"/>
        </w:trPr>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3"/>
        </w:trPr>
        <w:tc>
          <w:tcPr>
            <w:tcW w:w="3680" w:type="dxa"/>
            <w:vAlign w:val="bottom"/>
            <w:gridSpan w:val="3"/>
          </w:tcPr>
          <w:p>
            <w:pPr>
              <w:jc w:val="center"/>
              <w:ind w:right="90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3220" w:type="dxa"/>
            <w:vAlign w:val="bottom"/>
            <w:gridSpan w:val="3"/>
          </w:tcPr>
          <w:p>
            <w:pPr>
              <w:jc w:val="center"/>
              <w:ind w:right="200"/>
              <w:spacing w:after="0"/>
              <w:rPr>
                <w:sz w:val="20"/>
                <w:szCs w:val="20"/>
                <w:color w:val="auto"/>
              </w:rPr>
            </w:pPr>
            <w:r>
              <w:rPr>
                <w:rFonts w:ascii="Arial" w:cs="Arial" w:eastAsia="Arial" w:hAnsi="Arial"/>
                <w:sz w:val="11"/>
                <w:szCs w:val="11"/>
                <w:color w:val="auto"/>
                <w:w w:val="97"/>
              </w:rPr>
              <w:t>(Commission file number)</w:t>
            </w:r>
          </w:p>
        </w:tc>
        <w:tc>
          <w:tcPr>
            <w:tcW w:w="2680" w:type="dxa"/>
            <w:vAlign w:val="bottom"/>
            <w:gridSpan w:val="3"/>
          </w:tcPr>
          <w:p>
            <w:pPr>
              <w:jc w:val="center"/>
              <w:ind w:left="1028"/>
              <w:spacing w:after="0"/>
              <w:rPr>
                <w:sz w:val="20"/>
                <w:szCs w:val="20"/>
                <w:color w:val="auto"/>
              </w:rPr>
            </w:pPr>
            <w:r>
              <w:rPr>
                <w:rFonts w:ascii="Arial" w:cs="Arial" w:eastAsia="Arial" w:hAnsi="Arial"/>
                <w:sz w:val="11"/>
                <w:szCs w:val="11"/>
                <w:color w:val="auto"/>
                <w:w w:val="98"/>
              </w:rPr>
              <w:t>(IRS Employer 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2275 Research Boulevard, Suite 600, Rockville, Maryland 20850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(Zip Code)</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(301) 468-8848</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right="1980" w:firstLine="8"/>
        <w:spacing w:after="0" w:line="504"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223"/>
        </w:trPr>
        <w:tc>
          <w:tcPr>
            <w:tcW w:w="4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CBNK</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NASDAQ Stock Market</w:t>
            </w:r>
          </w:p>
        </w:tc>
      </w:tr>
    </w:tbl>
    <w:p>
      <w:pPr>
        <w:spacing w:after="0" w:line="319" w:lineRule="exact"/>
        <w:rPr>
          <w:sz w:val="24"/>
          <w:szCs w:val="24"/>
          <w:color w:val="auto"/>
        </w:rPr>
      </w:pPr>
    </w:p>
    <w:p>
      <w:pPr>
        <w:ind w:right="8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Annual Meeting of Stockholders of Capital Bancorp, Inc. (the “Company”) held on May 28, 2026 (the “Annual Meeting”), the Company’s stockholders voted on: (i) the election of four Class III director nominees and one Class II director nominee (Proposal 1); (ii) a non-binding advisory vote to approve the compensation of the Company’s Named Executive Officers (Proposal 2); and (iii) the ratification of the appointment of Elliott Davis, PLLC as the Company’s independent registered public accounting firm for fiscal year ending December 31, 2026 (Proposal 3).</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matters were submitted to the stockholders for a vote through the solicitation of proxies in accordance with the Company's Definitive Proxy Statement. Each of the proposals is described in further detail in the Company’s Definitive Proxy Statement. Other than the three proposals addressed herein and described in the Company’s Definitive Proxy Statement, no other proposal was submitted at the Annual Meeting for stockholder action.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On the record date for the Annual Meeting, there were 16,309,270 shares of the Company's common stock issued, outstanding, and entitled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vote. Stockholders holding 13,674,863 shares of the Company’s common stock were present at the Annual Meeting, in person or represented by proxy. At the Annual Meeting, the common stockholders elected Messrs. Bailey, McConnell, Schwartz and Whalen as Class</w:t>
      </w:r>
    </w:p>
    <w:p>
      <w:pPr>
        <w:spacing w:after="0" w:line="2" w:lineRule="exact"/>
        <w:rPr>
          <w:sz w:val="20"/>
          <w:szCs w:val="20"/>
          <w:color w:val="auto"/>
        </w:rPr>
      </w:pPr>
    </w:p>
    <w:p>
      <w:pPr>
        <w:ind w:firstLine="8"/>
        <w:spacing w:after="0" w:line="250" w:lineRule="auto"/>
        <w:tabs>
          <w:tab w:leader="none" w:pos="20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directors to serve a term expiring in 2029 and Mr. Caplan as a Class II director to serve a term expiring in 2028. The final results of voting on each of the matters submitted to a vote of common stockholders during the Annual Meeting are as follows: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Proposal 1 – To elect four Class III directors to serve for a three-year term ending at the 2029 Annual Meeting of Stockholders or until their successor is duly elected and qualified and one Class II director to serve for a two-year term ending at the 2028 Annual Meeting of Stockholders or until his successor is duly elected and qualified:</w:t>
      </w:r>
    </w:p>
    <w:p>
      <w:pPr>
        <w:spacing w:after="0" w:line="235" w:lineRule="exact"/>
        <w:rPr>
          <w:sz w:val="20"/>
          <w:szCs w:val="20"/>
          <w:color w:val="auto"/>
        </w:rPr>
      </w:pPr>
    </w:p>
    <w:tbl>
      <w:tblPr>
        <w:tblLayout w:type="fixed"/>
        <w:tblInd w:w="110" w:type="dxa"/>
        <w:tblCellMar>
          <w:top w:w="0" w:type="dxa"/>
          <w:left w:w="0" w:type="dxa"/>
          <w:bottom w:w="0" w:type="dxa"/>
          <w:right w:w="0" w:type="dxa"/>
        </w:tblCellMar>
      </w:tblPr>
      <w:tr>
        <w:trPr>
          <w:trHeight w:val="265"/>
        </w:trPr>
        <w:tc>
          <w:tcPr>
            <w:tcW w:w="360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CLASS III DIRECTOR NOMINEES</w:t>
            </w:r>
          </w:p>
        </w:tc>
        <w:tc>
          <w:tcPr>
            <w:tcW w:w="156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FOR</w:t>
            </w:r>
          </w:p>
        </w:tc>
        <w:tc>
          <w:tcPr>
            <w:tcW w:w="158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AGAINST</w:t>
            </w:r>
          </w:p>
        </w:tc>
        <w:tc>
          <w:tcPr>
            <w:tcW w:w="156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ABSTAIN</w:t>
            </w:r>
          </w:p>
        </w:tc>
        <w:tc>
          <w:tcPr>
            <w:tcW w:w="27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BROKER NON-VOTES</w:t>
            </w:r>
          </w:p>
        </w:tc>
      </w:tr>
      <w:tr>
        <w:trPr>
          <w:trHeight w:val="248"/>
        </w:trPr>
        <w:tc>
          <w:tcPr>
            <w:tcW w:w="3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Jerome R. Bailey</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8,027,248</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2,576,817</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93,558</w:t>
            </w:r>
          </w:p>
        </w:tc>
        <w:tc>
          <w:tcPr>
            <w:tcW w:w="2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2,977,240</w:t>
            </w:r>
          </w:p>
        </w:tc>
      </w:tr>
      <w:tr>
        <w:trPr>
          <w:trHeight w:val="250"/>
        </w:trPr>
        <w:tc>
          <w:tcPr>
            <w:tcW w:w="3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 McConnell</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9,848,386</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829,422</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19,815</w:t>
            </w:r>
          </w:p>
        </w:tc>
        <w:tc>
          <w:tcPr>
            <w:tcW w:w="2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2,977,240</w:t>
            </w:r>
          </w:p>
        </w:tc>
      </w:tr>
      <w:tr>
        <w:trPr>
          <w:trHeight w:val="250"/>
        </w:trPr>
        <w:tc>
          <w:tcPr>
            <w:tcW w:w="3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Steven J. Schwartz</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7,590,434</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3,056,827</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50,362</w:t>
            </w:r>
          </w:p>
        </w:tc>
        <w:tc>
          <w:tcPr>
            <w:tcW w:w="2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2,977,240</w:t>
            </w:r>
          </w:p>
        </w:tc>
      </w:tr>
      <w:tr>
        <w:trPr>
          <w:trHeight w:val="250"/>
        </w:trPr>
        <w:tc>
          <w:tcPr>
            <w:tcW w:w="3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F. Whalen</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5,608,243</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5,008,267</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81,113</w:t>
            </w:r>
          </w:p>
        </w:tc>
        <w:tc>
          <w:tcPr>
            <w:tcW w:w="2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2,977,240</w:t>
            </w:r>
          </w:p>
        </w:tc>
      </w:tr>
    </w:tbl>
    <w:p>
      <w:pPr>
        <w:spacing w:after="0" w:line="345" w:lineRule="exact"/>
        <w:rPr>
          <w:sz w:val="20"/>
          <w:szCs w:val="20"/>
          <w:color w:val="auto"/>
        </w:rPr>
      </w:pPr>
    </w:p>
    <w:tbl>
      <w:tblPr>
        <w:tblLayout w:type="fixed"/>
        <w:tblInd w:w="110" w:type="dxa"/>
        <w:tblCellMar>
          <w:top w:w="0" w:type="dxa"/>
          <w:left w:w="0" w:type="dxa"/>
          <w:bottom w:w="0" w:type="dxa"/>
          <w:right w:w="0" w:type="dxa"/>
        </w:tblCellMar>
      </w:tblPr>
      <w:tr>
        <w:trPr>
          <w:trHeight w:val="265"/>
        </w:trPr>
        <w:tc>
          <w:tcPr>
            <w:tcW w:w="360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CLASS II DIRECTOR NOMINEE</w:t>
            </w:r>
          </w:p>
        </w:tc>
        <w:tc>
          <w:tcPr>
            <w:tcW w:w="156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FOR</w:t>
            </w:r>
          </w:p>
        </w:tc>
        <w:tc>
          <w:tcPr>
            <w:tcW w:w="158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AGAINST</w:t>
            </w:r>
          </w:p>
        </w:tc>
        <w:tc>
          <w:tcPr>
            <w:tcW w:w="156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ABSTAIN</w:t>
            </w:r>
          </w:p>
        </w:tc>
        <w:tc>
          <w:tcPr>
            <w:tcW w:w="27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BROKER NON-VOTES</w:t>
            </w:r>
          </w:p>
        </w:tc>
      </w:tr>
      <w:tr>
        <w:trPr>
          <w:trHeight w:val="248"/>
        </w:trPr>
        <w:tc>
          <w:tcPr>
            <w:tcW w:w="3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 Caplan</w:t>
            </w:r>
          </w:p>
        </w:tc>
        <w:tc>
          <w:tcPr>
            <w:tcW w:w="156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10,173,352</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473,689</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50,582</w:t>
            </w:r>
          </w:p>
        </w:tc>
        <w:tc>
          <w:tcPr>
            <w:tcW w:w="2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2,977,240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Proposal 2 – Approval of a non-binding advisory vote to approve the compensation of the Company's Named Executive Officers:</w:t>
      </w:r>
    </w:p>
    <w:p>
      <w:pPr>
        <w:spacing w:after="0" w:line="278" w:lineRule="exact"/>
        <w:rPr>
          <w:sz w:val="20"/>
          <w:szCs w:val="20"/>
          <w:color w:val="auto"/>
        </w:rPr>
      </w:pPr>
    </w:p>
    <w:tbl>
      <w:tblPr>
        <w:tblLayout w:type="fixed"/>
        <w:tblInd w:w="1210"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48"/>
        </w:trPr>
        <w:tc>
          <w:tcPr>
            <w:tcW w:w="2200" w:type="dxa"/>
            <w:vAlign w:val="bottom"/>
            <w:tcBorders>
              <w:left w:val="single" w:sz="8" w:color="auto"/>
              <w:bottom w:val="single" w:sz="8" w:color="auto"/>
              <w:right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10,118,772</w:t>
            </w:r>
          </w:p>
        </w:tc>
        <w:tc>
          <w:tcPr>
            <w:tcW w:w="1860" w:type="dxa"/>
            <w:vAlign w:val="bottom"/>
            <w:tcBorders>
              <w:bottom w:val="single" w:sz="8" w:color="auto"/>
              <w:right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317,014</w:t>
            </w:r>
          </w:p>
        </w:tc>
        <w:tc>
          <w:tcPr>
            <w:tcW w:w="1860" w:type="dxa"/>
            <w:vAlign w:val="bottom"/>
            <w:tcBorders>
              <w:bottom w:val="single" w:sz="8" w:color="auto"/>
              <w:right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261,837</w:t>
            </w:r>
          </w:p>
        </w:tc>
        <w:tc>
          <w:tcPr>
            <w:tcW w:w="2960" w:type="dxa"/>
            <w:vAlign w:val="bottom"/>
            <w:tcBorders>
              <w:bottom w:val="single" w:sz="8" w:color="auto"/>
              <w:right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2,977,240</w:t>
            </w:r>
          </w:p>
        </w:tc>
      </w:tr>
    </w:tbl>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Proposal 3 – The ratification of the appointment of Elliott Davis, PLLC as the Company’s independent registered public accounting firm for fiscal year ending December 31, 2026.</w:t>
      </w:r>
    </w:p>
    <w:p>
      <w:pPr>
        <w:spacing w:after="0" w:line="220" w:lineRule="exact"/>
        <w:rPr>
          <w:sz w:val="20"/>
          <w:szCs w:val="20"/>
          <w:color w:val="auto"/>
        </w:rPr>
      </w:pPr>
    </w:p>
    <w:tbl>
      <w:tblPr>
        <w:tblLayout w:type="fixed"/>
        <w:tblInd w:w="1210"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48"/>
        </w:trPr>
        <w:tc>
          <w:tcPr>
            <w:tcW w:w="2200" w:type="dxa"/>
            <w:vAlign w:val="bottom"/>
            <w:tcBorders>
              <w:left w:val="single" w:sz="8" w:color="auto"/>
              <w:bottom w:val="single" w:sz="8" w:color="auto"/>
              <w:right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13,466,844</w:t>
            </w:r>
          </w:p>
        </w:tc>
        <w:tc>
          <w:tcPr>
            <w:tcW w:w="1860" w:type="dxa"/>
            <w:vAlign w:val="bottom"/>
            <w:tcBorders>
              <w:bottom w:val="single" w:sz="8" w:color="auto"/>
              <w:right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198,796</w:t>
            </w:r>
          </w:p>
        </w:tc>
        <w:tc>
          <w:tcPr>
            <w:tcW w:w="1860" w:type="dxa"/>
            <w:vAlign w:val="bottom"/>
            <w:tcBorders>
              <w:bottom w:val="single" w:sz="8" w:color="auto"/>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9,223</w:t>
            </w:r>
          </w:p>
        </w:tc>
        <w:tc>
          <w:tcPr>
            <w:tcW w:w="2960" w:type="dxa"/>
            <w:vAlign w:val="bottom"/>
            <w:tcBorders>
              <w:bottom w:val="single" w:sz="8" w:color="auto"/>
              <w:right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1060" w:type="dxa"/>
        <w:tblCellMar>
          <w:top w:w="0" w:type="dxa"/>
          <w:left w:w="0" w:type="dxa"/>
          <w:bottom w:w="0" w:type="dxa"/>
          <w:right w:w="0" w:type="dxa"/>
        </w:tblCellMar>
      </w:tblPr>
      <w:tr>
        <w:trPr>
          <w:trHeight w:val="247"/>
        </w:trPr>
        <w:tc>
          <w:tcPr>
            <w:tcW w:w="3040" w:type="dxa"/>
            <w:vAlign w:val="bottom"/>
          </w:tcPr>
          <w:p>
            <w:pPr>
              <w:spacing w:after="0"/>
              <w:rPr>
                <w:sz w:val="21"/>
                <w:szCs w:val="21"/>
                <w:color w:val="auto"/>
              </w:rPr>
            </w:pPr>
          </w:p>
        </w:tc>
        <w:tc>
          <w:tcPr>
            <w:tcW w:w="3720" w:type="dxa"/>
            <w:vAlign w:val="bottom"/>
            <w:gridSpan w:val="3"/>
          </w:tcPr>
          <w:p>
            <w:pPr>
              <w:ind w:left="1520"/>
              <w:spacing w:after="0"/>
              <w:rPr>
                <w:sz w:val="20"/>
                <w:szCs w:val="20"/>
                <w:color w:val="auto"/>
              </w:rPr>
            </w:pPr>
            <w:r>
              <w:rPr>
                <w:rFonts w:ascii="Arial" w:cs="Arial" w:eastAsia="Arial" w:hAnsi="Arial"/>
                <w:sz w:val="18"/>
                <w:szCs w:val="18"/>
                <w:b w:val="1"/>
                <w:bCs w:val="1"/>
                <w:color w:val="auto"/>
                <w:w w:val="99"/>
              </w:rPr>
              <w:t>CAPITAL BANCORP, INC.</w:t>
            </w:r>
          </w:p>
        </w:tc>
      </w:tr>
      <w:tr>
        <w:trPr>
          <w:trHeight w:val="690"/>
        </w:trPr>
        <w:tc>
          <w:tcPr>
            <w:tcW w:w="3040" w:type="dxa"/>
            <w:vAlign w:val="bottom"/>
          </w:tcPr>
          <w:p>
            <w:pPr>
              <w:spacing w:after="0"/>
              <w:rPr>
                <w:sz w:val="20"/>
                <w:szCs w:val="20"/>
                <w:color w:val="auto"/>
              </w:rPr>
            </w:pPr>
            <w:r>
              <w:rPr>
                <w:rFonts w:ascii="Arial" w:cs="Arial" w:eastAsia="Arial" w:hAnsi="Arial"/>
                <w:sz w:val="18"/>
                <w:szCs w:val="18"/>
                <w:color w:val="auto"/>
              </w:rPr>
              <w:t>Date: June 1, 2026</w:t>
            </w:r>
          </w:p>
        </w:tc>
        <w:tc>
          <w:tcPr>
            <w:tcW w:w="3720" w:type="dxa"/>
            <w:vAlign w:val="bottom"/>
            <w:gridSpan w:val="3"/>
          </w:tcPr>
          <w:p>
            <w:pPr>
              <w:ind w:left="1520"/>
              <w:spacing w:after="0"/>
              <w:rPr>
                <w:sz w:val="20"/>
                <w:szCs w:val="20"/>
                <w:color w:val="auto"/>
              </w:rPr>
            </w:pPr>
            <w:r>
              <w:rPr>
                <w:rFonts w:ascii="Arial" w:cs="Arial" w:eastAsia="Arial" w:hAnsi="Arial"/>
                <w:sz w:val="18"/>
                <w:szCs w:val="18"/>
                <w:color w:val="auto"/>
              </w:rPr>
              <w:t>By: /s/ Jacob Dalaya</w:t>
            </w:r>
          </w:p>
        </w:tc>
      </w:tr>
      <w:tr>
        <w:trPr>
          <w:trHeight w:val="20"/>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5"/>
        </w:trPr>
        <w:tc>
          <w:tcPr>
            <w:tcW w:w="3040" w:type="dxa"/>
            <w:vAlign w:val="bottom"/>
          </w:tcPr>
          <w:p>
            <w:pPr>
              <w:spacing w:after="0"/>
              <w:rPr>
                <w:sz w:val="21"/>
                <w:szCs w:val="21"/>
                <w:color w:val="auto"/>
              </w:rPr>
            </w:pPr>
          </w:p>
        </w:tc>
        <w:tc>
          <w:tcPr>
            <w:tcW w:w="3720" w:type="dxa"/>
            <w:vAlign w:val="bottom"/>
            <w:gridSpan w:val="3"/>
          </w:tcPr>
          <w:p>
            <w:pPr>
              <w:ind w:left="1520"/>
              <w:spacing w:after="0"/>
              <w:rPr>
                <w:sz w:val="20"/>
                <w:szCs w:val="20"/>
                <w:color w:val="auto"/>
              </w:rPr>
            </w:pPr>
            <w:r>
              <w:rPr>
                <w:rFonts w:ascii="Arial" w:cs="Arial" w:eastAsia="Arial" w:hAnsi="Arial"/>
                <w:sz w:val="18"/>
                <w:szCs w:val="18"/>
                <w:color w:val="auto"/>
              </w:rPr>
              <w:t>Name: Jacob Dalaya</w:t>
            </w:r>
          </w:p>
        </w:tc>
      </w:tr>
      <w:tr>
        <w:trPr>
          <w:trHeight w:val="239"/>
        </w:trPr>
        <w:tc>
          <w:tcPr>
            <w:tcW w:w="3040" w:type="dxa"/>
            <w:vAlign w:val="bottom"/>
          </w:tcPr>
          <w:p>
            <w:pPr>
              <w:spacing w:after="0"/>
              <w:rPr>
                <w:sz w:val="20"/>
                <w:szCs w:val="20"/>
                <w:color w:val="auto"/>
              </w:rPr>
            </w:pPr>
          </w:p>
        </w:tc>
        <w:tc>
          <w:tcPr>
            <w:tcW w:w="3720" w:type="dxa"/>
            <w:vAlign w:val="bottom"/>
            <w:gridSpan w:val="3"/>
          </w:tcPr>
          <w:p>
            <w:pPr>
              <w:ind w:left="1520"/>
              <w:spacing w:after="0"/>
              <w:rPr>
                <w:sz w:val="20"/>
                <w:szCs w:val="20"/>
                <w:color w:val="auto"/>
              </w:rPr>
            </w:pPr>
            <w:r>
              <w:rPr>
                <w:rFonts w:ascii="Arial" w:cs="Arial" w:eastAsia="Arial" w:hAnsi="Arial"/>
                <w:sz w:val="18"/>
                <w:szCs w:val="18"/>
                <w:color w:val="auto"/>
                <w:w w:val="98"/>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6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2026-06-01T16:24:20Z</dcterms:created>
  <dcterms:modified xsi:type="dcterms:W3CDTF">2026-06-01T16:24:20Z</dcterms:modified>
</cp:coreProperties>
</file>